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398E" w:rsidRPr="005350EA" w:rsidRDefault="00E804C9" w:rsidP="006B6E21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3FC4" w:rsidRPr="005350EA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39398E" w:rsidRPr="005350EA" w:rsidRDefault="00D13FC4" w:rsidP="006B6E21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0EA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мониторингового исследования «Изучение уровня профессиональной компетентности педагогов» </w:t>
      </w:r>
      <w:r w:rsidR="00000375" w:rsidRPr="005350EA"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 </w:t>
      </w:r>
      <w:r w:rsidR="00A20AE6">
        <w:rPr>
          <w:rFonts w:ascii="Times New Roman" w:hAnsi="Times New Roman" w:cs="Times New Roman"/>
          <w:b/>
          <w:sz w:val="28"/>
          <w:szCs w:val="28"/>
        </w:rPr>
        <w:t>Сулейман</w:t>
      </w:r>
      <w:r w:rsidR="00D826E9">
        <w:rPr>
          <w:rFonts w:ascii="Times New Roman" w:hAnsi="Times New Roman" w:cs="Times New Roman"/>
          <w:b/>
          <w:sz w:val="28"/>
          <w:szCs w:val="28"/>
        </w:rPr>
        <w:t>-</w:t>
      </w:r>
      <w:bookmarkStart w:id="0" w:name="_GoBack"/>
      <w:bookmarkEnd w:id="0"/>
      <w:proofErr w:type="gramStart"/>
      <w:r w:rsidR="00A20AE6">
        <w:rPr>
          <w:rFonts w:ascii="Times New Roman" w:hAnsi="Times New Roman" w:cs="Times New Roman"/>
          <w:b/>
          <w:sz w:val="28"/>
          <w:szCs w:val="28"/>
        </w:rPr>
        <w:t xml:space="preserve">Стальского </w:t>
      </w:r>
      <w:r w:rsidR="00C357B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End"/>
    </w:p>
    <w:p w:rsidR="0075111E" w:rsidRPr="005350EA" w:rsidRDefault="0075111E" w:rsidP="0075111E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98E" w:rsidRPr="005350EA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i/>
          <w:sz w:val="28"/>
          <w:szCs w:val="28"/>
        </w:rPr>
        <w:t>Основание проведения диагностики</w:t>
      </w:r>
      <w:r w:rsidRPr="005350EA">
        <w:rPr>
          <w:rFonts w:ascii="Times New Roman" w:hAnsi="Times New Roman" w:cs="Times New Roman"/>
          <w:sz w:val="28"/>
          <w:szCs w:val="28"/>
        </w:rPr>
        <w:t xml:space="preserve">: план </w:t>
      </w:r>
      <w:r w:rsidR="001214FB" w:rsidRPr="005350EA">
        <w:rPr>
          <w:rFonts w:ascii="Times New Roman" w:hAnsi="Times New Roman" w:cs="Times New Roman"/>
          <w:sz w:val="28"/>
          <w:szCs w:val="28"/>
        </w:rPr>
        <w:t>ДИРО по</w:t>
      </w:r>
      <w:r w:rsidR="0075111E" w:rsidRPr="005350EA">
        <w:rPr>
          <w:rFonts w:ascii="Times New Roman" w:hAnsi="Times New Roman" w:cs="Times New Roman"/>
          <w:sz w:val="28"/>
          <w:szCs w:val="28"/>
        </w:rPr>
        <w:t xml:space="preserve"> работе с образовательными организациями</w:t>
      </w:r>
      <w:r w:rsidR="00C43BC1">
        <w:rPr>
          <w:rFonts w:ascii="Times New Roman" w:hAnsi="Times New Roman" w:cs="Times New Roman"/>
          <w:sz w:val="28"/>
          <w:szCs w:val="28"/>
        </w:rPr>
        <w:t xml:space="preserve"> по повышению качества образования и эффективности деятельности педагогов. </w:t>
      </w:r>
      <w:r w:rsidR="0075111E" w:rsidRPr="0053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6F0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i/>
          <w:sz w:val="28"/>
          <w:szCs w:val="28"/>
        </w:rPr>
        <w:t>Цель</w:t>
      </w:r>
      <w:r w:rsidRPr="005350EA">
        <w:rPr>
          <w:rFonts w:ascii="Times New Roman" w:hAnsi="Times New Roman" w:cs="Times New Roman"/>
          <w:sz w:val="28"/>
          <w:szCs w:val="28"/>
        </w:rPr>
        <w:t xml:space="preserve">: определение уровня профессиональной компетентности педагогов и </w:t>
      </w:r>
      <w:r w:rsidR="005026F0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5350EA">
        <w:rPr>
          <w:rFonts w:ascii="Times New Roman" w:hAnsi="Times New Roman" w:cs="Times New Roman"/>
          <w:sz w:val="28"/>
          <w:szCs w:val="28"/>
        </w:rPr>
        <w:t>типичных затруднений</w:t>
      </w:r>
      <w:r w:rsidR="005026F0">
        <w:rPr>
          <w:rFonts w:ascii="Times New Roman" w:hAnsi="Times New Roman" w:cs="Times New Roman"/>
          <w:sz w:val="28"/>
          <w:szCs w:val="28"/>
        </w:rPr>
        <w:t>, выявленных в ходе диагностики.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26F0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i/>
          <w:sz w:val="28"/>
          <w:szCs w:val="28"/>
        </w:rPr>
        <w:t>Задачи</w:t>
      </w:r>
      <w:r w:rsidRPr="005350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7535B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1) </w:t>
      </w:r>
      <w:r w:rsidR="0075111E" w:rsidRPr="005350EA">
        <w:rPr>
          <w:rFonts w:ascii="Times New Roman" w:hAnsi="Times New Roman" w:cs="Times New Roman"/>
          <w:sz w:val="28"/>
          <w:szCs w:val="28"/>
        </w:rPr>
        <w:t>Изучить уровень профессиональной компетентности учителей</w:t>
      </w:r>
      <w:r w:rsidR="00B468CC">
        <w:rPr>
          <w:rFonts w:ascii="Times New Roman" w:hAnsi="Times New Roman" w:cs="Times New Roman"/>
          <w:sz w:val="28"/>
          <w:szCs w:val="28"/>
        </w:rPr>
        <w:t>;</w:t>
      </w:r>
      <w:r w:rsidR="00575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398E" w:rsidRPr="005350EA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2) Изучить, обобщить и систематизировать типичные затруднения и успехи педагогов для коррекции методической работы; </w:t>
      </w:r>
    </w:p>
    <w:p w:rsidR="0039398E" w:rsidRPr="005350EA" w:rsidRDefault="00D13FC4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>3) Наметить управленческие решения по повышению эффективности качества деятельности педагогов</w:t>
      </w:r>
      <w:r w:rsidR="00E55638" w:rsidRPr="005350EA">
        <w:rPr>
          <w:rFonts w:ascii="Times New Roman" w:hAnsi="Times New Roman" w:cs="Times New Roman"/>
          <w:sz w:val="28"/>
          <w:szCs w:val="28"/>
        </w:rPr>
        <w:t>;</w:t>
      </w:r>
    </w:p>
    <w:p w:rsidR="0075111E" w:rsidRPr="005350EA" w:rsidRDefault="0075111E" w:rsidP="0075111E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4) На основе полученных результатов </w:t>
      </w:r>
      <w:r w:rsidR="00B468CC" w:rsidRPr="005350EA">
        <w:rPr>
          <w:rFonts w:ascii="Times New Roman" w:hAnsi="Times New Roman" w:cs="Times New Roman"/>
          <w:sz w:val="28"/>
          <w:szCs w:val="28"/>
        </w:rPr>
        <w:t xml:space="preserve">ДИРО </w:t>
      </w:r>
      <w:r w:rsidRPr="005350EA">
        <w:rPr>
          <w:rFonts w:ascii="Times New Roman" w:hAnsi="Times New Roman" w:cs="Times New Roman"/>
          <w:sz w:val="28"/>
          <w:szCs w:val="28"/>
        </w:rPr>
        <w:t>подготовить предложения для управления образованием по у</w:t>
      </w:r>
      <w:r w:rsidR="005026F0">
        <w:rPr>
          <w:rFonts w:ascii="Times New Roman" w:hAnsi="Times New Roman" w:cs="Times New Roman"/>
          <w:sz w:val="28"/>
          <w:szCs w:val="28"/>
        </w:rPr>
        <w:t>странению</w:t>
      </w:r>
      <w:r w:rsidRPr="005350EA">
        <w:rPr>
          <w:rFonts w:ascii="Times New Roman" w:hAnsi="Times New Roman" w:cs="Times New Roman"/>
          <w:sz w:val="28"/>
          <w:szCs w:val="28"/>
        </w:rPr>
        <w:t xml:space="preserve"> имеющихся недостатков.</w:t>
      </w:r>
    </w:p>
    <w:p w:rsidR="0039398E" w:rsidRPr="005350EA" w:rsidRDefault="00D13FC4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5350EA">
        <w:rPr>
          <w:rFonts w:ascii="Times New Roman" w:hAnsi="Times New Roman" w:cs="Times New Roman"/>
          <w:sz w:val="28"/>
          <w:szCs w:val="28"/>
        </w:rPr>
        <w:t xml:space="preserve">: профессиональная компетентность педагогов. </w:t>
      </w:r>
    </w:p>
    <w:p w:rsidR="001214FB" w:rsidRPr="005350EA" w:rsidRDefault="001214FB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   </w:t>
      </w:r>
      <w:r w:rsidR="00DF6FC0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8351B6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Исследование проводилось с целью содействия повышению качества подготовки педагогических работников путем создания научно-обоснованной системы комплексной оценки компетенций учителей</w:t>
      </w:r>
      <w:r w:rsidR="008351B6" w:rsidRPr="005350EA">
        <w:rPr>
          <w:rFonts w:ascii="Times New Roman" w:hAnsi="Times New Roman" w:cs="Times New Roman"/>
          <w:sz w:val="28"/>
          <w:szCs w:val="28"/>
        </w:rPr>
        <w:t>,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8351B6" w:rsidRPr="005350EA">
        <w:rPr>
          <w:rFonts w:ascii="Times New Roman" w:hAnsi="Times New Roman" w:cs="Times New Roman"/>
          <w:sz w:val="28"/>
          <w:szCs w:val="28"/>
        </w:rPr>
        <w:t>д</w:t>
      </w:r>
      <w:r w:rsidRPr="005350EA">
        <w:rPr>
          <w:rFonts w:ascii="Times New Roman" w:hAnsi="Times New Roman" w:cs="Times New Roman"/>
          <w:sz w:val="28"/>
          <w:szCs w:val="28"/>
        </w:rPr>
        <w:t>ля выявления характерных затруднений, с которыми сталкиваются педагоги в своей профессиональной деятельности</w:t>
      </w:r>
      <w:r w:rsidR="00000375" w:rsidRPr="005350EA">
        <w:rPr>
          <w:rFonts w:ascii="Times New Roman" w:hAnsi="Times New Roman" w:cs="Times New Roman"/>
          <w:sz w:val="28"/>
          <w:szCs w:val="28"/>
        </w:rPr>
        <w:t>. Специалистами ДИРО</w:t>
      </w:r>
      <w:r w:rsidRPr="005350EA">
        <w:rPr>
          <w:rFonts w:ascii="Times New Roman" w:hAnsi="Times New Roman" w:cs="Times New Roman"/>
          <w:sz w:val="28"/>
          <w:szCs w:val="28"/>
        </w:rPr>
        <w:t xml:space="preserve"> был разработан и апробирован инструментарий </w:t>
      </w:r>
      <w:r w:rsidR="005026F0">
        <w:rPr>
          <w:rFonts w:ascii="Times New Roman" w:hAnsi="Times New Roman" w:cs="Times New Roman"/>
          <w:sz w:val="28"/>
          <w:szCs w:val="28"/>
        </w:rPr>
        <w:t xml:space="preserve">для </w:t>
      </w:r>
      <w:r w:rsidRPr="005350EA">
        <w:rPr>
          <w:rFonts w:ascii="Times New Roman" w:hAnsi="Times New Roman" w:cs="Times New Roman"/>
          <w:sz w:val="28"/>
          <w:szCs w:val="28"/>
        </w:rPr>
        <w:t>изучения профессиональ</w:t>
      </w:r>
      <w:r w:rsidR="008351B6" w:rsidRPr="005350EA">
        <w:rPr>
          <w:rFonts w:ascii="Times New Roman" w:hAnsi="Times New Roman" w:cs="Times New Roman"/>
          <w:sz w:val="28"/>
          <w:szCs w:val="28"/>
        </w:rPr>
        <w:t xml:space="preserve">ных компетенций учителей </w:t>
      </w:r>
      <w:r w:rsidRPr="005350EA">
        <w:rPr>
          <w:rFonts w:ascii="Times New Roman" w:hAnsi="Times New Roman" w:cs="Times New Roman"/>
          <w:sz w:val="28"/>
          <w:szCs w:val="28"/>
        </w:rPr>
        <w:t>по</w:t>
      </w:r>
      <w:r w:rsidR="00000375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A20AE6">
        <w:rPr>
          <w:rFonts w:ascii="Times New Roman" w:hAnsi="Times New Roman" w:cs="Times New Roman"/>
          <w:sz w:val="28"/>
          <w:szCs w:val="28"/>
        </w:rPr>
        <w:t>6</w:t>
      </w:r>
      <w:r w:rsidR="00000375" w:rsidRPr="005350EA">
        <w:rPr>
          <w:rFonts w:ascii="Times New Roman" w:hAnsi="Times New Roman" w:cs="Times New Roman"/>
          <w:sz w:val="28"/>
          <w:szCs w:val="28"/>
        </w:rPr>
        <w:t xml:space="preserve"> предметам. </w:t>
      </w:r>
      <w:r w:rsidRPr="005350EA">
        <w:rPr>
          <w:rFonts w:ascii="Times New Roman" w:hAnsi="Times New Roman" w:cs="Times New Roman"/>
          <w:sz w:val="28"/>
          <w:szCs w:val="28"/>
        </w:rPr>
        <w:t xml:space="preserve">Материалы исследования могут быть использованы как диагностические при </w:t>
      </w:r>
      <w:r w:rsidR="000D600B">
        <w:rPr>
          <w:rFonts w:ascii="Times New Roman" w:hAnsi="Times New Roman" w:cs="Times New Roman"/>
          <w:sz w:val="28"/>
          <w:szCs w:val="28"/>
        </w:rPr>
        <w:t>составлении</w:t>
      </w:r>
      <w:r w:rsidRPr="005350EA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5026F0">
        <w:rPr>
          <w:rFonts w:ascii="Times New Roman" w:hAnsi="Times New Roman" w:cs="Times New Roman"/>
          <w:sz w:val="28"/>
          <w:szCs w:val="28"/>
        </w:rPr>
        <w:t xml:space="preserve">курсов </w:t>
      </w:r>
      <w:r w:rsidRPr="005350EA">
        <w:rPr>
          <w:rFonts w:ascii="Times New Roman" w:hAnsi="Times New Roman" w:cs="Times New Roman"/>
          <w:sz w:val="28"/>
          <w:szCs w:val="28"/>
        </w:rPr>
        <w:t xml:space="preserve">повышения квалификации. </w:t>
      </w:r>
    </w:p>
    <w:p w:rsidR="00DD1458" w:rsidRDefault="00D640E0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В </w:t>
      </w:r>
      <w:r w:rsidR="008A2F4B" w:rsidRPr="005350EA">
        <w:rPr>
          <w:rFonts w:ascii="Times New Roman" w:hAnsi="Times New Roman" w:cs="Times New Roman"/>
          <w:sz w:val="28"/>
          <w:szCs w:val="28"/>
        </w:rPr>
        <w:t>проведении исследования</w:t>
      </w:r>
      <w:r w:rsidRPr="005350EA">
        <w:rPr>
          <w:rFonts w:ascii="Times New Roman" w:hAnsi="Times New Roman" w:cs="Times New Roman"/>
          <w:sz w:val="28"/>
          <w:szCs w:val="28"/>
        </w:rPr>
        <w:t xml:space="preserve"> компетенций учителей</w:t>
      </w:r>
      <w:r w:rsidR="000D600B">
        <w:rPr>
          <w:rFonts w:ascii="Times New Roman" w:hAnsi="Times New Roman" w:cs="Times New Roman"/>
          <w:sz w:val="28"/>
          <w:szCs w:val="28"/>
        </w:rPr>
        <w:t xml:space="preserve"> </w:t>
      </w:r>
      <w:r w:rsidR="008A2F4B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A20AE6">
        <w:rPr>
          <w:rFonts w:ascii="Times New Roman" w:hAnsi="Times New Roman" w:cs="Times New Roman"/>
          <w:sz w:val="28"/>
          <w:szCs w:val="28"/>
        </w:rPr>
        <w:t>Сулейман</w:t>
      </w:r>
      <w:r w:rsidR="00974B00">
        <w:rPr>
          <w:rFonts w:ascii="Times New Roman" w:hAnsi="Times New Roman" w:cs="Times New Roman"/>
          <w:sz w:val="28"/>
          <w:szCs w:val="28"/>
        </w:rPr>
        <w:t>-</w:t>
      </w:r>
      <w:r w:rsidR="00A20AE6">
        <w:rPr>
          <w:rFonts w:ascii="Times New Roman" w:hAnsi="Times New Roman" w:cs="Times New Roman"/>
          <w:sz w:val="28"/>
          <w:szCs w:val="28"/>
        </w:rPr>
        <w:t xml:space="preserve">Стальского </w:t>
      </w:r>
      <w:r w:rsidR="00FA33F4">
        <w:rPr>
          <w:rFonts w:ascii="Times New Roman" w:hAnsi="Times New Roman" w:cs="Times New Roman"/>
          <w:sz w:val="28"/>
          <w:szCs w:val="28"/>
        </w:rPr>
        <w:t xml:space="preserve"> </w:t>
      </w:r>
      <w:r w:rsidR="008A2F4B" w:rsidRPr="005350EA">
        <w:rPr>
          <w:rFonts w:ascii="Times New Roman" w:hAnsi="Times New Roman" w:cs="Times New Roman"/>
          <w:sz w:val="28"/>
          <w:szCs w:val="28"/>
        </w:rPr>
        <w:t xml:space="preserve">района приняли участие </w:t>
      </w:r>
      <w:r w:rsidR="008D55E1" w:rsidRPr="005350EA">
        <w:rPr>
          <w:rFonts w:ascii="Times New Roman" w:hAnsi="Times New Roman" w:cs="Times New Roman"/>
          <w:sz w:val="28"/>
          <w:szCs w:val="28"/>
        </w:rPr>
        <w:t>1</w:t>
      </w:r>
      <w:r w:rsidR="00974B00">
        <w:rPr>
          <w:rFonts w:ascii="Times New Roman" w:hAnsi="Times New Roman" w:cs="Times New Roman"/>
          <w:sz w:val="28"/>
          <w:szCs w:val="28"/>
        </w:rPr>
        <w:t>5</w:t>
      </w:r>
      <w:r w:rsidR="000D600B">
        <w:rPr>
          <w:rFonts w:ascii="Times New Roman" w:hAnsi="Times New Roman" w:cs="Times New Roman"/>
          <w:sz w:val="28"/>
          <w:szCs w:val="28"/>
        </w:rPr>
        <w:t>4</w:t>
      </w:r>
      <w:r w:rsidR="00D03074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7455D7" w:rsidRPr="005350EA">
        <w:rPr>
          <w:rFonts w:ascii="Times New Roman" w:hAnsi="Times New Roman" w:cs="Times New Roman"/>
          <w:sz w:val="28"/>
          <w:szCs w:val="28"/>
        </w:rPr>
        <w:t>педагог</w:t>
      </w:r>
      <w:r w:rsidR="0057535B">
        <w:rPr>
          <w:rFonts w:ascii="Times New Roman" w:hAnsi="Times New Roman" w:cs="Times New Roman"/>
          <w:sz w:val="28"/>
          <w:szCs w:val="28"/>
        </w:rPr>
        <w:t>а</w:t>
      </w:r>
      <w:r w:rsidR="00D03074" w:rsidRPr="005350EA">
        <w:rPr>
          <w:rFonts w:ascii="Times New Roman" w:hAnsi="Times New Roman" w:cs="Times New Roman"/>
          <w:sz w:val="28"/>
          <w:szCs w:val="28"/>
        </w:rPr>
        <w:t xml:space="preserve">: </w:t>
      </w:r>
      <w:r w:rsidR="00974B00">
        <w:rPr>
          <w:rFonts w:ascii="Times New Roman" w:hAnsi="Times New Roman" w:cs="Times New Roman"/>
          <w:sz w:val="28"/>
          <w:szCs w:val="28"/>
        </w:rPr>
        <w:t>русско</w:t>
      </w:r>
      <w:r w:rsidR="00DD1458">
        <w:rPr>
          <w:rFonts w:ascii="Times New Roman" w:hAnsi="Times New Roman" w:cs="Times New Roman"/>
          <w:sz w:val="28"/>
          <w:szCs w:val="28"/>
        </w:rPr>
        <w:t>го</w:t>
      </w:r>
      <w:r w:rsidR="00974B00">
        <w:rPr>
          <w:rFonts w:ascii="Times New Roman" w:hAnsi="Times New Roman" w:cs="Times New Roman"/>
          <w:sz w:val="28"/>
          <w:szCs w:val="28"/>
        </w:rPr>
        <w:t xml:space="preserve"> язык</w:t>
      </w:r>
      <w:r w:rsidR="00DD1458">
        <w:rPr>
          <w:rFonts w:ascii="Times New Roman" w:hAnsi="Times New Roman" w:cs="Times New Roman"/>
          <w:sz w:val="28"/>
          <w:szCs w:val="28"/>
        </w:rPr>
        <w:t>а</w:t>
      </w:r>
      <w:r w:rsidR="001E2FC8">
        <w:rPr>
          <w:rFonts w:ascii="Times New Roman" w:hAnsi="Times New Roman" w:cs="Times New Roman"/>
          <w:sz w:val="28"/>
          <w:szCs w:val="28"/>
        </w:rPr>
        <w:t>-37</w:t>
      </w:r>
      <w:r w:rsidR="00974B00">
        <w:rPr>
          <w:rFonts w:ascii="Times New Roman" w:hAnsi="Times New Roman" w:cs="Times New Roman"/>
          <w:sz w:val="28"/>
          <w:szCs w:val="28"/>
        </w:rPr>
        <w:t xml:space="preserve">,  </w:t>
      </w:r>
      <w:r w:rsidR="00D03074" w:rsidRPr="005350EA">
        <w:rPr>
          <w:rFonts w:ascii="Times New Roman" w:hAnsi="Times New Roman" w:cs="Times New Roman"/>
          <w:sz w:val="28"/>
          <w:szCs w:val="28"/>
        </w:rPr>
        <w:t>математик</w:t>
      </w:r>
      <w:r w:rsidR="00DD1458">
        <w:rPr>
          <w:rFonts w:ascii="Times New Roman" w:hAnsi="Times New Roman" w:cs="Times New Roman"/>
          <w:sz w:val="28"/>
          <w:szCs w:val="28"/>
        </w:rPr>
        <w:t>и</w:t>
      </w:r>
      <w:r w:rsidR="00D03074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1E2FC8">
        <w:rPr>
          <w:rFonts w:ascii="Times New Roman" w:hAnsi="Times New Roman" w:cs="Times New Roman"/>
          <w:sz w:val="28"/>
          <w:szCs w:val="28"/>
        </w:rPr>
        <w:t>-</w:t>
      </w:r>
      <w:r w:rsidR="00974B00">
        <w:rPr>
          <w:rFonts w:ascii="Times New Roman" w:hAnsi="Times New Roman" w:cs="Times New Roman"/>
          <w:sz w:val="28"/>
          <w:szCs w:val="28"/>
        </w:rPr>
        <w:t>37</w:t>
      </w:r>
      <w:r w:rsidR="001E2FC8">
        <w:rPr>
          <w:rFonts w:ascii="Times New Roman" w:hAnsi="Times New Roman" w:cs="Times New Roman"/>
          <w:sz w:val="28"/>
          <w:szCs w:val="28"/>
        </w:rPr>
        <w:t>,</w:t>
      </w:r>
      <w:r w:rsidR="00D03074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биологии</w:t>
      </w:r>
      <w:r w:rsidR="00DF6FC0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1E2FC8">
        <w:rPr>
          <w:rFonts w:ascii="Times New Roman" w:hAnsi="Times New Roman" w:cs="Times New Roman"/>
          <w:sz w:val="28"/>
          <w:szCs w:val="28"/>
        </w:rPr>
        <w:t>-22</w:t>
      </w:r>
      <w:r w:rsidR="00000375" w:rsidRPr="005350EA">
        <w:rPr>
          <w:rFonts w:ascii="Times New Roman" w:hAnsi="Times New Roman" w:cs="Times New Roman"/>
          <w:sz w:val="28"/>
          <w:szCs w:val="28"/>
        </w:rPr>
        <w:t>, химии</w:t>
      </w:r>
      <w:r w:rsidR="00DF6FC0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1E2FC8">
        <w:rPr>
          <w:rFonts w:ascii="Times New Roman" w:hAnsi="Times New Roman" w:cs="Times New Roman"/>
          <w:sz w:val="28"/>
          <w:szCs w:val="28"/>
        </w:rPr>
        <w:t>-</w:t>
      </w:r>
      <w:r w:rsidR="008262FA">
        <w:rPr>
          <w:rFonts w:ascii="Times New Roman" w:hAnsi="Times New Roman" w:cs="Times New Roman"/>
          <w:sz w:val="28"/>
          <w:szCs w:val="28"/>
        </w:rPr>
        <w:t>1</w:t>
      </w:r>
      <w:r w:rsidR="00B468CC">
        <w:rPr>
          <w:rFonts w:ascii="Times New Roman" w:hAnsi="Times New Roman" w:cs="Times New Roman"/>
          <w:sz w:val="28"/>
          <w:szCs w:val="28"/>
        </w:rPr>
        <w:t>6</w:t>
      </w:r>
      <w:r w:rsidR="00000375" w:rsidRPr="005350EA">
        <w:rPr>
          <w:rFonts w:ascii="Times New Roman" w:hAnsi="Times New Roman" w:cs="Times New Roman"/>
          <w:sz w:val="28"/>
          <w:szCs w:val="28"/>
        </w:rPr>
        <w:t>, истории</w:t>
      </w:r>
      <w:r w:rsidR="001E2FC8">
        <w:rPr>
          <w:rFonts w:ascii="Times New Roman" w:hAnsi="Times New Roman" w:cs="Times New Roman"/>
          <w:sz w:val="28"/>
          <w:szCs w:val="28"/>
        </w:rPr>
        <w:t xml:space="preserve"> -</w:t>
      </w:r>
      <w:r w:rsidR="00974B00">
        <w:rPr>
          <w:rFonts w:ascii="Times New Roman" w:hAnsi="Times New Roman" w:cs="Times New Roman"/>
          <w:sz w:val="28"/>
          <w:szCs w:val="28"/>
        </w:rPr>
        <w:t>2</w:t>
      </w:r>
      <w:r w:rsidR="008262FA">
        <w:rPr>
          <w:rFonts w:ascii="Times New Roman" w:hAnsi="Times New Roman" w:cs="Times New Roman"/>
          <w:sz w:val="28"/>
          <w:szCs w:val="28"/>
        </w:rPr>
        <w:t>6</w:t>
      </w:r>
      <w:r w:rsidR="00000375" w:rsidRPr="005350EA">
        <w:rPr>
          <w:rFonts w:ascii="Times New Roman" w:hAnsi="Times New Roman" w:cs="Times New Roman"/>
          <w:sz w:val="28"/>
          <w:szCs w:val="28"/>
        </w:rPr>
        <w:t xml:space="preserve">, </w:t>
      </w:r>
      <w:r w:rsidR="00974B00">
        <w:rPr>
          <w:rFonts w:ascii="Times New Roman" w:hAnsi="Times New Roman" w:cs="Times New Roman"/>
          <w:sz w:val="28"/>
          <w:szCs w:val="28"/>
        </w:rPr>
        <w:t>обществознани</w:t>
      </w:r>
      <w:r w:rsidR="00DD1458">
        <w:rPr>
          <w:rFonts w:ascii="Times New Roman" w:hAnsi="Times New Roman" w:cs="Times New Roman"/>
          <w:sz w:val="28"/>
          <w:szCs w:val="28"/>
        </w:rPr>
        <w:t>я</w:t>
      </w:r>
      <w:r w:rsidR="00974B00">
        <w:rPr>
          <w:rFonts w:ascii="Times New Roman" w:hAnsi="Times New Roman" w:cs="Times New Roman"/>
          <w:sz w:val="28"/>
          <w:szCs w:val="28"/>
        </w:rPr>
        <w:t xml:space="preserve"> </w:t>
      </w:r>
      <w:r w:rsidR="001E2FC8">
        <w:rPr>
          <w:rFonts w:ascii="Times New Roman" w:hAnsi="Times New Roman" w:cs="Times New Roman"/>
          <w:sz w:val="28"/>
          <w:szCs w:val="28"/>
        </w:rPr>
        <w:t>-</w:t>
      </w:r>
      <w:r w:rsidR="008262FA">
        <w:rPr>
          <w:rFonts w:ascii="Times New Roman" w:hAnsi="Times New Roman" w:cs="Times New Roman"/>
          <w:sz w:val="28"/>
          <w:szCs w:val="28"/>
        </w:rPr>
        <w:t>16</w:t>
      </w:r>
      <w:r w:rsidR="00974B00">
        <w:rPr>
          <w:rFonts w:ascii="Times New Roman" w:hAnsi="Times New Roman" w:cs="Times New Roman"/>
          <w:sz w:val="28"/>
          <w:szCs w:val="28"/>
        </w:rPr>
        <w:t>.</w:t>
      </w:r>
      <w:r w:rsidR="007455D7" w:rsidRPr="0053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074" w:rsidRPr="005350EA" w:rsidRDefault="00D640E0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Руководители образовательных организаций </w:t>
      </w:r>
      <w:r w:rsidR="00A20AE6">
        <w:rPr>
          <w:rFonts w:ascii="Times New Roman" w:hAnsi="Times New Roman" w:cs="Times New Roman"/>
          <w:sz w:val="28"/>
          <w:szCs w:val="28"/>
        </w:rPr>
        <w:t>Сулейман</w:t>
      </w:r>
      <w:r w:rsidR="00D97A5E">
        <w:rPr>
          <w:rFonts w:ascii="Times New Roman" w:hAnsi="Times New Roman" w:cs="Times New Roman"/>
          <w:sz w:val="28"/>
          <w:szCs w:val="28"/>
        </w:rPr>
        <w:t>-</w:t>
      </w:r>
      <w:r w:rsidR="00A20AE6">
        <w:rPr>
          <w:rFonts w:ascii="Times New Roman" w:hAnsi="Times New Roman" w:cs="Times New Roman"/>
          <w:sz w:val="28"/>
          <w:szCs w:val="28"/>
        </w:rPr>
        <w:t xml:space="preserve">Стальского </w:t>
      </w:r>
      <w:r w:rsidR="004B318F"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района ответственно отнеслись к проведению ис</w:t>
      </w:r>
      <w:r w:rsidR="00DF6FC0" w:rsidRPr="005350EA">
        <w:rPr>
          <w:rFonts w:ascii="Times New Roman" w:hAnsi="Times New Roman" w:cs="Times New Roman"/>
          <w:sz w:val="28"/>
          <w:szCs w:val="28"/>
        </w:rPr>
        <w:t>следования и обеспечили участие</w:t>
      </w:r>
      <w:r w:rsidR="00000375" w:rsidRPr="005350EA">
        <w:rPr>
          <w:rFonts w:ascii="Times New Roman" w:hAnsi="Times New Roman" w:cs="Times New Roman"/>
          <w:sz w:val="28"/>
          <w:szCs w:val="28"/>
        </w:rPr>
        <w:t xml:space="preserve"> всех </w:t>
      </w:r>
      <w:r w:rsidRPr="005350EA">
        <w:rPr>
          <w:rFonts w:ascii="Times New Roman" w:hAnsi="Times New Roman" w:cs="Times New Roman"/>
          <w:sz w:val="28"/>
          <w:szCs w:val="28"/>
        </w:rPr>
        <w:t>учителей</w:t>
      </w:r>
      <w:r w:rsidR="004E1DB4">
        <w:rPr>
          <w:rFonts w:ascii="Times New Roman" w:hAnsi="Times New Roman" w:cs="Times New Roman"/>
          <w:sz w:val="28"/>
          <w:szCs w:val="28"/>
        </w:rPr>
        <w:t xml:space="preserve">-предметников. </w:t>
      </w:r>
    </w:p>
    <w:p w:rsidR="0057535B" w:rsidRDefault="005A23D2" w:rsidP="00B7199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="002A0A5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35B" w:rsidRDefault="0057535B" w:rsidP="00526C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57535B" w:rsidRDefault="0057535B" w:rsidP="00526C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EF0D45" w:rsidRPr="005350EA" w:rsidRDefault="006D66DE" w:rsidP="00526CF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lastRenderedPageBreak/>
        <w:t>Таблица №1.</w:t>
      </w:r>
    </w:p>
    <w:p w:rsidR="001F45AB" w:rsidRPr="001F45AB" w:rsidRDefault="001F45AB" w:rsidP="001F45AB">
      <w:pPr>
        <w:rPr>
          <w:rFonts w:ascii="Calibri" w:eastAsia="Calibri" w:hAnsi="Calibri" w:cs="Times New Roman"/>
        </w:rPr>
      </w:pPr>
      <w:r w:rsidRPr="001F45AB">
        <w:rPr>
          <w:rFonts w:ascii="Calibri" w:eastAsia="Calibri" w:hAnsi="Calibri" w:cs="Times New Roman"/>
        </w:rPr>
        <w:fldChar w:fldCharType="begin"/>
      </w:r>
      <w:r w:rsidRPr="001F45AB">
        <w:rPr>
          <w:rFonts w:ascii="Calibri" w:eastAsia="Calibri" w:hAnsi="Calibri" w:cs="Times New Roman"/>
        </w:rPr>
        <w:instrText xml:space="preserve"> LINK Excel.Sheet.12 "C:\\Users\\user\\Desktop\\Исправлено    Сулейсман-Стальский район.111.xlsx" Лист1!R1C1:R9C12 \a \f 4 \h  \* MERGEFORMAT </w:instrText>
      </w:r>
      <w:r w:rsidRPr="001F45AB">
        <w:rPr>
          <w:rFonts w:ascii="Calibri" w:eastAsia="Calibri" w:hAnsi="Calibri" w:cs="Times New Roman"/>
        </w:rPr>
        <w:fldChar w:fldCharType="separate"/>
      </w:r>
    </w:p>
    <w:tbl>
      <w:tblPr>
        <w:tblW w:w="10460" w:type="dxa"/>
        <w:tblLook w:val="04A0" w:firstRow="1" w:lastRow="0" w:firstColumn="1" w:lastColumn="0" w:noHBand="0" w:noVBand="1"/>
      </w:tblPr>
      <w:tblGrid>
        <w:gridCol w:w="445"/>
        <w:gridCol w:w="2166"/>
        <w:gridCol w:w="1382"/>
        <w:gridCol w:w="814"/>
        <w:gridCol w:w="653"/>
        <w:gridCol w:w="653"/>
        <w:gridCol w:w="800"/>
        <w:gridCol w:w="653"/>
        <w:gridCol w:w="791"/>
        <w:gridCol w:w="640"/>
        <w:gridCol w:w="971"/>
        <w:gridCol w:w="492"/>
      </w:tblGrid>
      <w:tr w:rsidR="001F45AB" w:rsidRPr="001F45AB" w:rsidTr="00634588">
        <w:trPr>
          <w:trHeight w:val="555"/>
        </w:trPr>
        <w:tc>
          <w:tcPr>
            <w:tcW w:w="1046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45AB" w:rsidRPr="001F45AB" w:rsidRDefault="001C6F10" w:rsidP="001F45AB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Р</w:t>
            </w:r>
            <w:r w:rsidR="001F45AB" w:rsidRPr="001F45AB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езультаты диагности</w:t>
            </w:r>
            <w:r w:rsidR="00596B88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 xml:space="preserve">ческой работы учителей С. </w:t>
            </w:r>
            <w:r w:rsidR="001F45AB" w:rsidRPr="001F45AB">
              <w:rPr>
                <w:rFonts w:ascii="Calibri Light" w:eastAsia="Times New Roman" w:hAnsi="Calibri Light" w:cs="Calibri Light"/>
                <w:b/>
                <w:bCs/>
                <w:color w:val="000000"/>
                <w:sz w:val="28"/>
                <w:szCs w:val="28"/>
                <w:lang w:eastAsia="ru-RU"/>
              </w:rPr>
              <w:t>Стальского района</w:t>
            </w:r>
          </w:p>
        </w:tc>
      </w:tr>
      <w:tr w:rsidR="001F45AB" w:rsidRPr="001F45AB" w:rsidTr="00634588">
        <w:trPr>
          <w:trHeight w:val="1260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%не преод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кач-во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ср.балл</w:t>
            </w:r>
            <w:proofErr w:type="gramEnd"/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химия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56,2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45AB" w:rsidRPr="001F45AB" w:rsidTr="00634588">
        <w:trPr>
          <w:trHeight w:val="375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23,1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45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41.6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5AB" w:rsidRPr="001F45AB" w:rsidRDefault="001C6F10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5AB" w:rsidRPr="001F45AB" w:rsidRDefault="001F45AB" w:rsidP="001F45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F45AB" w:rsidRPr="005350EA" w:rsidRDefault="001F45AB" w:rsidP="001F45AB">
      <w:pPr>
        <w:rPr>
          <w:rFonts w:ascii="Times New Roman" w:hAnsi="Times New Roman" w:cs="Times New Roman"/>
          <w:sz w:val="28"/>
          <w:szCs w:val="28"/>
        </w:rPr>
      </w:pPr>
      <w:r w:rsidRPr="001F45AB">
        <w:rPr>
          <w:rFonts w:ascii="Calibri" w:eastAsia="Calibri" w:hAnsi="Calibri" w:cs="Times New Roman"/>
        </w:rPr>
        <w:fldChar w:fldCharType="end"/>
      </w:r>
    </w:p>
    <w:p w:rsidR="005350EA" w:rsidRPr="005350EA" w:rsidRDefault="005350EA" w:rsidP="00360587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031D" w:rsidRDefault="0097031D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031D" w:rsidRDefault="001C6F10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0767852" wp14:editId="3BF2D2C8">
            <wp:extent cx="5940425" cy="3975735"/>
            <wp:effectExtent l="0" t="0" r="3175" b="571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97031D" w:rsidRDefault="0097031D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97031D" w:rsidRDefault="0097031D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34E4F" w:rsidRDefault="00634E4F" w:rsidP="001C6F10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F5649" w:rsidRPr="0097031D" w:rsidRDefault="008F5649" w:rsidP="008F5649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Статистический анализ результатов диагностики учителей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математики</w:t>
      </w:r>
    </w:p>
    <w:p w:rsidR="008F5649" w:rsidRPr="005350EA" w:rsidRDefault="008F5649" w:rsidP="008F56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69" w:type="dxa"/>
        <w:tblInd w:w="-5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118"/>
        <w:gridCol w:w="2551"/>
      </w:tblGrid>
      <w:tr w:rsidR="008F5649" w:rsidRPr="005350EA" w:rsidTr="00E74F05">
        <w:trPr>
          <w:trHeight w:val="54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B9520E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заданий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B9520E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Простейшие текстовые задачи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94,6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Чтение графиков и диаграмм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94,6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Квадратная решётка, координатная плоскость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Начала теории вероятностей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83,8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Простейшие уравнения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91,9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Планиметрия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73,0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Производная и первообразная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75,7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Стереометрия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70,3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Вычисления и преобразования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81,1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Задачи с прикладным содержанием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78,4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Текстовые задачи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73,0</w:t>
            </w:r>
          </w:p>
        </w:tc>
      </w:tr>
      <w:tr w:rsidR="008F5649" w:rsidRPr="005350EA" w:rsidTr="00E74F05">
        <w:trPr>
          <w:trHeight w:val="290"/>
        </w:trPr>
        <w:tc>
          <w:tcPr>
            <w:tcW w:w="7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49" w:rsidRPr="005350EA" w:rsidRDefault="008F5649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0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 Наибольшее и наименьшее значение функций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5649" w:rsidRPr="008262FA" w:rsidRDefault="008F5649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82,9</w:t>
            </w:r>
          </w:p>
        </w:tc>
      </w:tr>
    </w:tbl>
    <w:p w:rsidR="008F5649" w:rsidRPr="005350EA" w:rsidRDefault="008F5649" w:rsidP="008F56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5649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50EA">
        <w:rPr>
          <w:rFonts w:ascii="Times New Roman" w:hAnsi="Times New Roman" w:cs="Times New Roman"/>
          <w:sz w:val="28"/>
          <w:szCs w:val="28"/>
        </w:rPr>
        <w:t>В исследовании компетенции учителей математик</w:t>
      </w:r>
      <w:r w:rsidR="00B468CC">
        <w:rPr>
          <w:rFonts w:ascii="Times New Roman" w:hAnsi="Times New Roman" w:cs="Times New Roman"/>
          <w:sz w:val="28"/>
          <w:szCs w:val="28"/>
        </w:rPr>
        <w:t>и</w:t>
      </w:r>
      <w:r w:rsidRPr="005350EA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>
        <w:rPr>
          <w:rFonts w:ascii="Times New Roman" w:hAnsi="Times New Roman" w:cs="Times New Roman"/>
          <w:sz w:val="28"/>
          <w:szCs w:val="28"/>
        </w:rPr>
        <w:t xml:space="preserve">16 </w:t>
      </w:r>
      <w:r w:rsidRPr="005350EA">
        <w:rPr>
          <w:rFonts w:ascii="Times New Roman" w:hAnsi="Times New Roman" w:cs="Times New Roman"/>
          <w:sz w:val="28"/>
          <w:szCs w:val="28"/>
        </w:rPr>
        <w:t>педагогов. Кимы для проведения исследования были составлены в соответствии с кодификатором ЕГЭ по математике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350EA">
        <w:rPr>
          <w:rFonts w:ascii="Times New Roman" w:hAnsi="Times New Roman" w:cs="Times New Roman"/>
          <w:sz w:val="28"/>
          <w:szCs w:val="28"/>
        </w:rPr>
        <w:t>г. и содержали 12 вопросов.</w:t>
      </w:r>
    </w:p>
    <w:p w:rsidR="008F5649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Успеваемость составляет 100%, </w:t>
      </w:r>
      <w:r w:rsidR="002D60C3">
        <w:rPr>
          <w:rFonts w:ascii="Times New Roman" w:hAnsi="Times New Roman" w:cs="Times New Roman"/>
          <w:sz w:val="28"/>
          <w:szCs w:val="28"/>
        </w:rPr>
        <w:t>качественный показатель – 89,1%, средний балл 4,3.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49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выполнение заданий наблюдается </w:t>
      </w:r>
      <w:r w:rsidR="00B468C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B468C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«Квадратная решетка, координатная плоскость». Задания по раздел</w:t>
      </w:r>
      <w:r w:rsidR="00B468CC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«Простейшие текстовые задачи», «Чтение графиков и диаграмм», «Простейшие уравнения» </w:t>
      </w:r>
      <w:r w:rsidR="002825BD">
        <w:rPr>
          <w:rFonts w:ascii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 xml:space="preserve">большинства учителей не вызвали </w:t>
      </w:r>
      <w:r w:rsidR="002825BD">
        <w:rPr>
          <w:rFonts w:ascii="Times New Roman" w:hAnsi="Times New Roman" w:cs="Times New Roman"/>
          <w:sz w:val="28"/>
          <w:szCs w:val="28"/>
        </w:rPr>
        <w:t>затруднений</w:t>
      </w:r>
      <w:r>
        <w:rPr>
          <w:rFonts w:ascii="Times New Roman" w:hAnsi="Times New Roman" w:cs="Times New Roman"/>
          <w:sz w:val="28"/>
          <w:szCs w:val="28"/>
        </w:rPr>
        <w:t xml:space="preserve"> (91,9-94,6% выполнение). С текстовыми задачами и планиметрией справились </w:t>
      </w:r>
      <w:r w:rsidRPr="00E952D3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 xml:space="preserve">% учителей математики, с задачами с прикладным содержанием – 78,4%, с вычислением производной и первообразной справились 75,7% учителей. </w:t>
      </w:r>
    </w:p>
    <w:p w:rsidR="008F5649" w:rsidRPr="00DD1458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D1458">
        <w:rPr>
          <w:rFonts w:ascii="Times New Roman" w:hAnsi="Times New Roman" w:cs="Times New Roman"/>
          <w:sz w:val="28"/>
          <w:szCs w:val="28"/>
        </w:rPr>
        <w:t>В целом учителя математики выполнили предложенн</w:t>
      </w:r>
      <w:r w:rsidR="004055D0" w:rsidRPr="00DD1458">
        <w:rPr>
          <w:rFonts w:ascii="Times New Roman" w:hAnsi="Times New Roman" w:cs="Times New Roman"/>
          <w:sz w:val="28"/>
          <w:szCs w:val="28"/>
        </w:rPr>
        <w:t>ые</w:t>
      </w:r>
      <w:r w:rsidRPr="00DD1458">
        <w:rPr>
          <w:rFonts w:ascii="Times New Roman" w:hAnsi="Times New Roman" w:cs="Times New Roman"/>
          <w:sz w:val="28"/>
          <w:szCs w:val="28"/>
        </w:rPr>
        <w:t xml:space="preserve"> </w:t>
      </w:r>
      <w:r w:rsidR="004055D0" w:rsidRPr="00DD1458">
        <w:rPr>
          <w:rFonts w:ascii="Times New Roman" w:hAnsi="Times New Roman" w:cs="Times New Roman"/>
          <w:sz w:val="28"/>
          <w:szCs w:val="28"/>
        </w:rPr>
        <w:t>задания</w:t>
      </w:r>
      <w:r w:rsidRPr="00DD1458">
        <w:rPr>
          <w:rFonts w:ascii="Times New Roman" w:hAnsi="Times New Roman" w:cs="Times New Roman"/>
          <w:sz w:val="28"/>
          <w:szCs w:val="28"/>
        </w:rPr>
        <w:t xml:space="preserve"> на 83%.</w:t>
      </w:r>
    </w:p>
    <w:p w:rsidR="008F5649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Pr="005350EA">
        <w:rPr>
          <w:rFonts w:ascii="Times New Roman" w:hAnsi="Times New Roman" w:cs="Times New Roman"/>
          <w:sz w:val="28"/>
          <w:szCs w:val="28"/>
        </w:rPr>
        <w:t>разделам</w:t>
      </w:r>
      <w:r>
        <w:rPr>
          <w:rFonts w:ascii="Times New Roman" w:hAnsi="Times New Roman" w:cs="Times New Roman"/>
          <w:sz w:val="28"/>
          <w:szCs w:val="28"/>
        </w:rPr>
        <w:t xml:space="preserve"> заданий</w:t>
      </w:r>
      <w:r w:rsidRPr="005350EA">
        <w:rPr>
          <w:rFonts w:ascii="Times New Roman" w:hAnsi="Times New Roman" w:cs="Times New Roman"/>
          <w:sz w:val="28"/>
          <w:szCs w:val="28"/>
        </w:rPr>
        <w:t xml:space="preserve">, как видно из таблицы, учителя математики </w:t>
      </w:r>
      <w:r w:rsidR="002D60C3">
        <w:rPr>
          <w:rFonts w:ascii="Times New Roman" w:hAnsi="Times New Roman" w:cs="Times New Roman"/>
          <w:sz w:val="28"/>
          <w:szCs w:val="28"/>
        </w:rPr>
        <w:t xml:space="preserve">успешно </w:t>
      </w:r>
      <w:r w:rsidRPr="005350EA">
        <w:rPr>
          <w:rFonts w:ascii="Times New Roman" w:hAnsi="Times New Roman" w:cs="Times New Roman"/>
          <w:sz w:val="28"/>
          <w:szCs w:val="28"/>
        </w:rPr>
        <w:t xml:space="preserve">справились </w:t>
      </w:r>
      <w:r>
        <w:rPr>
          <w:rFonts w:ascii="Times New Roman" w:hAnsi="Times New Roman" w:cs="Times New Roman"/>
          <w:sz w:val="28"/>
          <w:szCs w:val="28"/>
        </w:rPr>
        <w:t>(от 70,0% до 94,6%).</w:t>
      </w:r>
    </w:p>
    <w:p w:rsidR="005C1D13" w:rsidRDefault="008F5649" w:rsidP="008F5649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37 учителей математики, принявших участие в</w:t>
      </w:r>
      <w:r w:rsidR="005C1D13"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="00657944">
        <w:rPr>
          <w:rFonts w:ascii="Times New Roman" w:hAnsi="Times New Roman" w:cs="Times New Roman"/>
          <w:sz w:val="28"/>
          <w:szCs w:val="28"/>
        </w:rPr>
        <w:t>диагностик</w:t>
      </w:r>
      <w:r w:rsidR="004055D0">
        <w:rPr>
          <w:rFonts w:ascii="Times New Roman" w:hAnsi="Times New Roman" w:cs="Times New Roman"/>
          <w:sz w:val="28"/>
          <w:szCs w:val="28"/>
        </w:rPr>
        <w:t>и</w:t>
      </w:r>
      <w:r w:rsidR="005C1D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1D13">
        <w:rPr>
          <w:rFonts w:ascii="Times New Roman" w:hAnsi="Times New Roman" w:cs="Times New Roman"/>
          <w:sz w:val="28"/>
          <w:szCs w:val="28"/>
        </w:rPr>
        <w:t xml:space="preserve">6 человек </w:t>
      </w:r>
      <w:r>
        <w:rPr>
          <w:rFonts w:ascii="Times New Roman" w:hAnsi="Times New Roman" w:cs="Times New Roman"/>
          <w:sz w:val="28"/>
          <w:szCs w:val="28"/>
        </w:rPr>
        <w:t>выполнили работу</w:t>
      </w:r>
      <w:r w:rsidR="005C1D13">
        <w:rPr>
          <w:rFonts w:ascii="Times New Roman" w:hAnsi="Times New Roman" w:cs="Times New Roman"/>
          <w:sz w:val="28"/>
          <w:szCs w:val="28"/>
        </w:rPr>
        <w:t xml:space="preserve"> </w:t>
      </w:r>
      <w:r w:rsidR="00657944">
        <w:rPr>
          <w:rFonts w:ascii="Times New Roman" w:hAnsi="Times New Roman" w:cs="Times New Roman"/>
          <w:sz w:val="28"/>
          <w:szCs w:val="28"/>
        </w:rPr>
        <w:t xml:space="preserve">на </w:t>
      </w:r>
      <w:r w:rsidR="005C1D13">
        <w:rPr>
          <w:rFonts w:ascii="Times New Roman" w:hAnsi="Times New Roman" w:cs="Times New Roman"/>
          <w:sz w:val="28"/>
          <w:szCs w:val="28"/>
        </w:rPr>
        <w:t>100%</w:t>
      </w:r>
      <w:r>
        <w:rPr>
          <w:rFonts w:ascii="Times New Roman" w:hAnsi="Times New Roman" w:cs="Times New Roman"/>
          <w:sz w:val="28"/>
          <w:szCs w:val="28"/>
        </w:rPr>
        <w:t>,</w:t>
      </w:r>
      <w:r w:rsidR="005C1D13">
        <w:rPr>
          <w:rFonts w:ascii="Times New Roman" w:hAnsi="Times New Roman" w:cs="Times New Roman"/>
          <w:sz w:val="28"/>
          <w:szCs w:val="28"/>
        </w:rPr>
        <w:t xml:space="preserve"> 11</w:t>
      </w:r>
      <w:r w:rsidR="00E74F05">
        <w:rPr>
          <w:rFonts w:ascii="Times New Roman" w:hAnsi="Times New Roman" w:cs="Times New Roman"/>
          <w:sz w:val="28"/>
          <w:szCs w:val="28"/>
        </w:rPr>
        <w:t>-</w:t>
      </w:r>
      <w:r w:rsidR="005C1D13">
        <w:rPr>
          <w:rFonts w:ascii="Times New Roman" w:hAnsi="Times New Roman" w:cs="Times New Roman"/>
          <w:sz w:val="28"/>
          <w:szCs w:val="28"/>
        </w:rPr>
        <w:t xml:space="preserve"> </w:t>
      </w:r>
      <w:r w:rsidR="00657944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92-93 %</w:t>
      </w:r>
      <w:r w:rsidR="005C1D13">
        <w:rPr>
          <w:rFonts w:ascii="Times New Roman" w:hAnsi="Times New Roman" w:cs="Times New Roman"/>
          <w:sz w:val="28"/>
          <w:szCs w:val="28"/>
        </w:rPr>
        <w:t>; 11</w:t>
      </w:r>
      <w:r w:rsidR="00E74F05">
        <w:rPr>
          <w:rFonts w:ascii="Times New Roman" w:hAnsi="Times New Roman" w:cs="Times New Roman"/>
          <w:sz w:val="28"/>
          <w:szCs w:val="28"/>
        </w:rPr>
        <w:t>-на</w:t>
      </w:r>
      <w:r w:rsidR="004055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75-83 %, </w:t>
      </w:r>
      <w:r w:rsidR="005C1D13">
        <w:rPr>
          <w:rFonts w:ascii="Times New Roman" w:hAnsi="Times New Roman" w:cs="Times New Roman"/>
          <w:sz w:val="28"/>
          <w:szCs w:val="28"/>
        </w:rPr>
        <w:t>4</w:t>
      </w:r>
      <w:r w:rsidR="00E74F05" w:rsidRPr="00E74F05">
        <w:rPr>
          <w:rFonts w:ascii="Times New Roman" w:hAnsi="Times New Roman" w:cs="Times New Roman"/>
          <w:sz w:val="28"/>
          <w:szCs w:val="28"/>
        </w:rPr>
        <w:t xml:space="preserve"> </w:t>
      </w:r>
      <w:r w:rsidR="00E74F05">
        <w:rPr>
          <w:rFonts w:ascii="Times New Roman" w:hAnsi="Times New Roman" w:cs="Times New Roman"/>
          <w:sz w:val="28"/>
          <w:szCs w:val="28"/>
        </w:rPr>
        <w:t xml:space="preserve">-на </w:t>
      </w:r>
      <w:r w:rsidR="004055D0">
        <w:rPr>
          <w:rFonts w:ascii="Times New Roman" w:hAnsi="Times New Roman" w:cs="Times New Roman"/>
          <w:sz w:val="28"/>
          <w:szCs w:val="28"/>
        </w:rPr>
        <w:t xml:space="preserve">67% </w:t>
      </w:r>
      <w:r>
        <w:rPr>
          <w:rFonts w:ascii="Times New Roman" w:hAnsi="Times New Roman" w:cs="Times New Roman"/>
          <w:sz w:val="28"/>
          <w:szCs w:val="28"/>
        </w:rPr>
        <w:t xml:space="preserve">  и </w:t>
      </w:r>
      <w:r w:rsidR="005C1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E74F05">
        <w:rPr>
          <w:rFonts w:ascii="Times New Roman" w:hAnsi="Times New Roman" w:cs="Times New Roman"/>
          <w:sz w:val="28"/>
          <w:szCs w:val="28"/>
        </w:rPr>
        <w:t>–</w:t>
      </w:r>
      <w:r w:rsidR="005C1D13">
        <w:rPr>
          <w:rFonts w:ascii="Times New Roman" w:hAnsi="Times New Roman" w:cs="Times New Roman"/>
          <w:sz w:val="28"/>
          <w:szCs w:val="28"/>
        </w:rPr>
        <w:t xml:space="preserve"> </w:t>
      </w:r>
      <w:r w:rsidR="00E74F05">
        <w:rPr>
          <w:rFonts w:ascii="Times New Roman" w:hAnsi="Times New Roman" w:cs="Times New Roman"/>
          <w:sz w:val="28"/>
          <w:szCs w:val="28"/>
        </w:rPr>
        <w:t xml:space="preserve">на </w:t>
      </w:r>
      <w:r w:rsidR="005C1D13">
        <w:rPr>
          <w:rFonts w:ascii="Times New Roman" w:hAnsi="Times New Roman" w:cs="Times New Roman"/>
          <w:sz w:val="28"/>
          <w:szCs w:val="28"/>
        </w:rPr>
        <w:t>58%.</w:t>
      </w:r>
      <w:r w:rsidRPr="005350E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7031D" w:rsidRDefault="0097031D" w:rsidP="0097031D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20AE6" w:rsidRDefault="00A20AE6" w:rsidP="0097031D">
      <w:pPr>
        <w:spacing w:line="276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B068F" w:rsidRPr="0097031D" w:rsidRDefault="00681BDB" w:rsidP="0097031D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Статистический анализ результатов диагностики учителей</w:t>
      </w:r>
      <w:r w:rsidR="009703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обществознания</w:t>
      </w: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681BDB" w:rsidRPr="005350EA" w:rsidRDefault="00346921" w:rsidP="0057535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W w:w="9669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7230"/>
        <w:gridCol w:w="2439"/>
      </w:tblGrid>
      <w:tr w:rsidR="00681BDB" w:rsidRPr="005350EA" w:rsidTr="00B9520E">
        <w:trPr>
          <w:trHeight w:val="667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DB" w:rsidRPr="00B9520E" w:rsidRDefault="00681BDB" w:rsidP="00B9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заданий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BDB" w:rsidRPr="00B9520E" w:rsidRDefault="00681BDB" w:rsidP="00B9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1. Анализ схем и таблиц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100,0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2. Выбор обобщающего понятия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87,5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3. Соотнесение видовых понятий с родовыми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62,5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4. Человек и общество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50,0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5. Человек и общество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68,8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6. Человек и общество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62,5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7. Экономика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68,8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8. Экономика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50,0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9. Экономика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62,5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10. Экономика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11. Социальные отношения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50,0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12. Социальные отношения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13. Политика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14. Политика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56,3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15. Политика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56,3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16. Право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53,1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17. Право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18. Право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62,5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Pr="00C81CBD" w:rsidRDefault="000D1053" w:rsidP="000D1053">
            <w:r w:rsidRPr="00C81CBD">
              <w:t>19. Анализ ситуаций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68,8</w:t>
            </w:r>
          </w:p>
        </w:tc>
      </w:tr>
      <w:tr w:rsidR="000D1053" w:rsidRPr="005350EA" w:rsidTr="00E74F05">
        <w:trPr>
          <w:trHeight w:val="290"/>
        </w:trPr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053" w:rsidRDefault="000D1053" w:rsidP="000D1053">
            <w:r w:rsidRPr="00C81CBD">
              <w:t>20. Определение терминов и понятий, соответствующих контексту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053" w:rsidRPr="00C428D2" w:rsidRDefault="000D1053" w:rsidP="000D1053">
            <w:r w:rsidRPr="00C428D2">
              <w:t>37,5</w:t>
            </w:r>
          </w:p>
        </w:tc>
      </w:tr>
    </w:tbl>
    <w:p w:rsidR="00681BDB" w:rsidRPr="005350EA" w:rsidRDefault="00681BDB" w:rsidP="00681BDB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4055D0" w:rsidRDefault="004C3539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B0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A3E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B719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  <w:r w:rsidR="008B7C55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7A5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диагностике </w:t>
      </w:r>
      <w:r w:rsidR="008B7C5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 обществознанию 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приняли участие </w:t>
      </w:r>
      <w:r w:rsidR="0097046E">
        <w:rPr>
          <w:rFonts w:ascii="Times New Roman" w:hAnsi="Times New Roman" w:cs="Times New Roman"/>
          <w:bCs/>
          <w:color w:val="000000"/>
          <w:sz w:val="28"/>
          <w:szCs w:val="28"/>
        </w:rPr>
        <w:t>16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учителей</w:t>
      </w:r>
      <w:r w:rsidR="0097031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 образовательных организаций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20AE6">
        <w:rPr>
          <w:rFonts w:ascii="Times New Roman" w:hAnsi="Times New Roman" w:cs="Times New Roman"/>
          <w:bCs/>
          <w:color w:val="000000"/>
          <w:sz w:val="28"/>
          <w:szCs w:val="28"/>
        </w:rPr>
        <w:t>Сулейман</w:t>
      </w:r>
      <w:r w:rsidR="00974B0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</w:t>
      </w:r>
      <w:proofErr w:type="gramStart"/>
      <w:r w:rsidR="00A20A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Стальского 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</w:t>
      </w:r>
      <w:proofErr w:type="gramEnd"/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7199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4B41CF" w:rsidRPr="00DD1458" w:rsidRDefault="00B71995" w:rsidP="005A3E60">
      <w:pPr>
        <w:spacing w:after="0" w:line="276" w:lineRule="auto"/>
        <w:ind w:left="-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таблицы </w:t>
      </w:r>
      <w:r w:rsidR="000C55B3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видно, что по данному предмету успеваемость составила </w:t>
      </w:r>
      <w:r w:rsidR="00056AB2">
        <w:rPr>
          <w:rFonts w:ascii="Times New Roman" w:hAnsi="Times New Roman" w:cs="Times New Roman"/>
          <w:bCs/>
          <w:color w:val="000000"/>
          <w:sz w:val="28"/>
          <w:szCs w:val="28"/>
        </w:rPr>
        <w:t>68,7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%, а качество </w:t>
      </w:r>
      <w:r w:rsidR="00E52217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0C55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2217">
        <w:rPr>
          <w:rFonts w:ascii="Times New Roman" w:hAnsi="Times New Roman" w:cs="Times New Roman"/>
          <w:bCs/>
          <w:color w:val="000000"/>
          <w:sz w:val="28"/>
          <w:szCs w:val="28"/>
        </w:rPr>
        <w:t>18,7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>%, средний балл</w:t>
      </w:r>
      <w:r w:rsidR="005B068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16E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0016E">
        <w:rPr>
          <w:rFonts w:ascii="Times New Roman" w:hAnsi="Times New Roman" w:cs="Times New Roman"/>
          <w:bCs/>
          <w:color w:val="000000"/>
          <w:sz w:val="28"/>
          <w:szCs w:val="28"/>
        </w:rPr>
        <w:t>2,8</w:t>
      </w:r>
      <w:r w:rsidR="008B7C55"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B7C55" w:rsidRPr="004055D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8B7C55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Средний процент выполнения </w:t>
      </w:r>
      <w:r w:rsidR="004055D0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заданий </w:t>
      </w:r>
      <w:r w:rsidR="005B068F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составляет</w:t>
      </w:r>
      <w:r w:rsidR="008B7C55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0C55B3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49,1</w:t>
      </w:r>
      <w:r w:rsidR="008B7C55" w:rsidRPr="00DD145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%.  </w:t>
      </w:r>
    </w:p>
    <w:p w:rsidR="005A3E60" w:rsidRDefault="004B41CF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 предложенных </w:t>
      </w:r>
      <w:r w:rsidR="00DD1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лучше всего педагоги справились с №1 (Анализ схем и таблиц) -100%, №2</w:t>
      </w:r>
      <w:r w:rsidR="008B7C55"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(выбор обобщающего понятия)</w:t>
      </w:r>
      <w:r w:rsidR="00502FE0">
        <w:rPr>
          <w:rFonts w:ascii="Times New Roman" w:hAnsi="Times New Roman" w:cs="Times New Roman"/>
          <w:sz w:val="28"/>
          <w:szCs w:val="28"/>
        </w:rPr>
        <w:t>-87,5%</w:t>
      </w:r>
      <w:r>
        <w:rPr>
          <w:rFonts w:ascii="Times New Roman" w:hAnsi="Times New Roman" w:cs="Times New Roman"/>
          <w:sz w:val="28"/>
          <w:szCs w:val="28"/>
        </w:rPr>
        <w:t>. Затруднения вызвали задания №1, 13, 17 (Экономика, Политика и Право)-</w:t>
      </w:r>
      <w:r w:rsidR="00D97A5E">
        <w:rPr>
          <w:rFonts w:ascii="Times New Roman" w:hAnsi="Times New Roman" w:cs="Times New Roman"/>
          <w:sz w:val="28"/>
          <w:szCs w:val="28"/>
        </w:rPr>
        <w:t>37,5%.</w:t>
      </w:r>
    </w:p>
    <w:p w:rsidR="004B41CF" w:rsidRPr="004B41CF" w:rsidRDefault="008B7C55" w:rsidP="004B41CF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350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B41CF">
        <w:rPr>
          <w:rFonts w:ascii="Times New Roman" w:hAnsi="Times New Roman" w:cs="Times New Roman"/>
          <w:bCs/>
          <w:color w:val="000000"/>
          <w:sz w:val="28"/>
          <w:szCs w:val="28"/>
        </w:rPr>
        <w:t>Б</w:t>
      </w:r>
      <w:r w:rsidR="004B41CF" w:rsidRPr="004B41CF">
        <w:rPr>
          <w:rFonts w:ascii="Times New Roman" w:hAnsi="Times New Roman" w:cs="Times New Roman"/>
          <w:bCs/>
          <w:color w:val="000000"/>
          <w:sz w:val="28"/>
          <w:szCs w:val="28"/>
        </w:rPr>
        <w:t>ыли выявлены следующие проблемы:</w:t>
      </w:r>
    </w:p>
    <w:p w:rsidR="004B41CF" w:rsidRPr="004B41CF" w:rsidRDefault="004B41CF" w:rsidP="004B41CF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1C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 </w:t>
      </w:r>
      <w:r w:rsidR="00542102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педагогов</w:t>
      </w:r>
      <w:r w:rsidR="00DD145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не преодолели минимальный порог.</w:t>
      </w:r>
    </w:p>
    <w:p w:rsidR="004B41CF" w:rsidRPr="004B41CF" w:rsidRDefault="004B41CF" w:rsidP="004B41CF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1C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2. Не отработаны в полной мере навыки работы с текстом, что затрудняет поиск ответов на вопросы.</w:t>
      </w:r>
    </w:p>
    <w:p w:rsidR="004B41CF" w:rsidRDefault="004B41CF" w:rsidP="004B41CF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1CF">
        <w:rPr>
          <w:rFonts w:ascii="Times New Roman" w:hAnsi="Times New Roman" w:cs="Times New Roman"/>
          <w:bCs/>
          <w:color w:val="000000"/>
          <w:sz w:val="28"/>
          <w:szCs w:val="28"/>
        </w:rPr>
        <w:t>3. Неумение использовать обществоведческий и дополнительный материал для обоснования своей позиции и приведения соответствующих примеров.</w:t>
      </w:r>
    </w:p>
    <w:p w:rsidR="004B41CF" w:rsidRDefault="004B41CF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346921" w:rsidRDefault="004B41CF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>Наблюда</w:t>
      </w:r>
      <w:r w:rsidR="00542102">
        <w:rPr>
          <w:rFonts w:ascii="Times New Roman" w:hAnsi="Times New Roman" w:cs="Times New Roman"/>
          <w:bCs/>
          <w:color w:val="000000"/>
          <w:sz w:val="28"/>
          <w:szCs w:val="28"/>
        </w:rPr>
        <w:t>ю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тся </w:t>
      </w:r>
      <w:r w:rsidR="0054210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трудности </w:t>
      </w:r>
      <w:r w:rsidR="00634E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>тем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>ам</w:t>
      </w:r>
      <w:r w:rsidR="00346921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8B7C55" w:rsidRDefault="00346921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работа с терминами и понятиями, </w:t>
      </w:r>
      <w:r w:rsidRPr="00346921">
        <w:rPr>
          <w:rFonts w:ascii="Times New Roman" w:hAnsi="Times New Roman" w:cs="Times New Roman"/>
          <w:bCs/>
          <w:color w:val="000000"/>
          <w:sz w:val="28"/>
          <w:szCs w:val="28"/>
        </w:rPr>
        <w:t>соответствующи</w:t>
      </w:r>
      <w:r w:rsidR="00634E4F">
        <w:rPr>
          <w:rFonts w:ascii="Times New Roman" w:hAnsi="Times New Roman" w:cs="Times New Roman"/>
          <w:bCs/>
          <w:color w:val="000000"/>
          <w:sz w:val="28"/>
          <w:szCs w:val="28"/>
        </w:rPr>
        <w:t>ми</w:t>
      </w:r>
      <w:r w:rsidRPr="0034692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контексту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346921" w:rsidRDefault="00346921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-социальные отношения;</w:t>
      </w:r>
    </w:p>
    <w:p w:rsidR="00346921" w:rsidRDefault="00346921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-экономика;</w:t>
      </w:r>
    </w:p>
    <w:p w:rsidR="00346921" w:rsidRPr="005350EA" w:rsidRDefault="00346921" w:rsidP="005A3E60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-политика.</w:t>
      </w:r>
    </w:p>
    <w:p w:rsidR="00681BDB" w:rsidRDefault="00B71995" w:rsidP="004B41CF">
      <w:pPr>
        <w:spacing w:line="276" w:lineRule="auto"/>
        <w:ind w:left="-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="00C43BC1">
        <w:rPr>
          <w:rFonts w:ascii="Times New Roman" w:hAnsi="Times New Roman" w:cs="Times New Roman"/>
          <w:bCs/>
          <w:color w:val="000000"/>
          <w:sz w:val="28"/>
          <w:szCs w:val="28"/>
        </w:rPr>
        <w:t>Управлению образования Сулейман-Стальского района рекомендуем разработать дорожную карту по повышению уровня компетенций учителей, соответств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>ующих</w:t>
      </w:r>
      <w:r w:rsidR="00C43B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занимаемой должности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но </w:t>
      </w:r>
      <w:r w:rsidR="00502FE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 w:rsidR="00E74F05">
        <w:rPr>
          <w:rFonts w:ascii="Times New Roman" w:hAnsi="Times New Roman" w:cs="Times New Roman"/>
          <w:bCs/>
          <w:color w:val="000000"/>
          <w:sz w:val="28"/>
          <w:szCs w:val="28"/>
        </w:rPr>
        <w:t>имеющих 1 или высшую квалификационную категорию</w:t>
      </w:r>
      <w:r w:rsidR="00C43BC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57535B" w:rsidRDefault="0057535B" w:rsidP="005A3E60">
      <w:pPr>
        <w:spacing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535B" w:rsidRDefault="0057535B" w:rsidP="0057535B">
      <w:pPr>
        <w:spacing w:after="0" w:line="276" w:lineRule="auto"/>
        <w:ind w:left="-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Статистический анализ результатов диагностики 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истории</w:t>
      </w:r>
    </w:p>
    <w:p w:rsidR="0057535B" w:rsidRPr="0057535B" w:rsidRDefault="0057535B" w:rsidP="0057535B">
      <w:pPr>
        <w:spacing w:after="0" w:line="276" w:lineRule="auto"/>
        <w:ind w:left="-567"/>
        <w:jc w:val="right"/>
        <w:rPr>
          <w:rFonts w:ascii="Times New Roman" w:hAnsi="Times New Roman" w:cs="Times New Roman"/>
          <w:sz w:val="20"/>
          <w:szCs w:val="20"/>
        </w:rPr>
      </w:pPr>
      <w:r w:rsidRPr="0057535B">
        <w:rPr>
          <w:rFonts w:ascii="Times New Roman" w:hAnsi="Times New Roman" w:cs="Times New Roman"/>
          <w:sz w:val="20"/>
          <w:szCs w:val="20"/>
        </w:rPr>
        <w:t>Таблица 1</w:t>
      </w:r>
    </w:p>
    <w:tbl>
      <w:tblPr>
        <w:tblW w:w="10065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7513"/>
        <w:gridCol w:w="2552"/>
      </w:tblGrid>
      <w:tr w:rsidR="0057535B" w:rsidRPr="005350EA" w:rsidTr="00E74F05">
        <w:trPr>
          <w:trHeight w:val="681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B9520E" w:rsidRDefault="0057535B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Разделы заданий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B9520E" w:rsidRDefault="0057535B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52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1. Определение последовательности исторических событий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65,4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2. Систематизация исторической информации: соответствие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75,0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3. Выбор исторических событий из ряда нескольких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80,8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4. Определение термина по нескольким признакам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76,9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5. Систематизация исторической информации: соответствие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80,8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6. Систематизация исторической информации: соответствие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57,7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7. Систематизация исторической информации: множественный выбор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57,7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8. Знание основных фактов, процессов, явлений 1941–1945 годов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73,1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9. Знание исторических деятелей VIII – начала XXI 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80,8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10. История 1914—2012 годов: краткий ответ в виде слова, словосочетания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92,3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11. Систематизация исторической информации: таблица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73,1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12. Анализ текстовых исторических источников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84,6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13. Анализ исторических карт, схем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73,1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14. Анализ исторических карт, схем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76,9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15. Анализ исторических карт, схем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65,4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16. Анализ исторических карт, схем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84,6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t>17. Систематизация исторической информации: соответствие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28,8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Pr="009119A7" w:rsidRDefault="0057535B" w:rsidP="00E74F05">
            <w:r w:rsidRPr="009119A7">
              <w:lastRenderedPageBreak/>
              <w:t>18. Анализ иллюстративного материала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50,0</w:t>
            </w:r>
          </w:p>
        </w:tc>
      </w:tr>
      <w:tr w:rsidR="0057535B" w:rsidRPr="005350EA" w:rsidTr="00E74F05">
        <w:trPr>
          <w:trHeight w:val="290"/>
        </w:trPr>
        <w:tc>
          <w:tcPr>
            <w:tcW w:w="7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535B" w:rsidRDefault="0057535B" w:rsidP="00E74F05">
            <w:r w:rsidRPr="009119A7">
              <w:t>19. Анализ иллюстративного материала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535B" w:rsidRPr="002D1862" w:rsidRDefault="0057535B" w:rsidP="00E74F05">
            <w:r w:rsidRPr="002D1862">
              <w:t>69,2</w:t>
            </w:r>
          </w:p>
        </w:tc>
      </w:tr>
    </w:tbl>
    <w:p w:rsidR="0057535B" w:rsidRPr="005350EA" w:rsidRDefault="0057535B" w:rsidP="0057535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3BC1" w:rsidRDefault="0057535B" w:rsidP="00D97A5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71995">
        <w:rPr>
          <w:rFonts w:ascii="Times New Roman" w:hAnsi="Times New Roman" w:cs="Times New Roman"/>
          <w:sz w:val="28"/>
          <w:szCs w:val="28"/>
        </w:rPr>
        <w:t xml:space="preserve">   </w:t>
      </w:r>
      <w:r w:rsidR="00DD1458">
        <w:rPr>
          <w:rFonts w:ascii="Times New Roman" w:hAnsi="Times New Roman" w:cs="Times New Roman"/>
          <w:sz w:val="28"/>
          <w:szCs w:val="28"/>
        </w:rPr>
        <w:t>В</w:t>
      </w:r>
      <w:r w:rsidRPr="005350EA">
        <w:rPr>
          <w:rFonts w:ascii="Times New Roman" w:hAnsi="Times New Roman" w:cs="Times New Roman"/>
          <w:sz w:val="28"/>
          <w:szCs w:val="28"/>
        </w:rPr>
        <w:t xml:space="preserve"> мониторинге </w:t>
      </w:r>
      <w:r w:rsidR="00DD1458">
        <w:rPr>
          <w:rFonts w:ascii="Times New Roman" w:hAnsi="Times New Roman" w:cs="Times New Roman"/>
          <w:sz w:val="28"/>
          <w:szCs w:val="28"/>
        </w:rPr>
        <w:t>п</w:t>
      </w:r>
      <w:r w:rsidR="00DD1458" w:rsidRPr="005350EA">
        <w:rPr>
          <w:rFonts w:ascii="Times New Roman" w:hAnsi="Times New Roman" w:cs="Times New Roman"/>
          <w:sz w:val="28"/>
          <w:szCs w:val="28"/>
        </w:rPr>
        <w:t xml:space="preserve">о истории </w:t>
      </w:r>
      <w:r w:rsidRPr="005350E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C43B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350EA">
        <w:rPr>
          <w:rFonts w:ascii="Times New Roman" w:hAnsi="Times New Roman" w:cs="Times New Roman"/>
          <w:sz w:val="28"/>
          <w:szCs w:val="28"/>
        </w:rPr>
        <w:t xml:space="preserve"> учителей.</w:t>
      </w:r>
    </w:p>
    <w:p w:rsidR="0057535B" w:rsidRPr="00A8242F" w:rsidRDefault="00C43BC1" w:rsidP="00D97A5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B71995">
        <w:rPr>
          <w:rFonts w:ascii="Times New Roman" w:hAnsi="Times New Roman" w:cs="Times New Roman"/>
          <w:sz w:val="28"/>
          <w:szCs w:val="28"/>
        </w:rPr>
        <w:t xml:space="preserve">        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Контрольно-измерительный материал содержал 19 вопросов </w:t>
      </w:r>
      <w:r w:rsidR="00A8242F">
        <w:rPr>
          <w:rFonts w:ascii="Times New Roman" w:hAnsi="Times New Roman" w:cs="Times New Roman"/>
          <w:sz w:val="28"/>
          <w:szCs w:val="28"/>
        </w:rPr>
        <w:t xml:space="preserve">из </w:t>
      </w:r>
      <w:r w:rsidR="0057535B" w:rsidRPr="005350EA">
        <w:rPr>
          <w:rFonts w:ascii="Times New Roman" w:hAnsi="Times New Roman" w:cs="Times New Roman"/>
          <w:sz w:val="28"/>
          <w:szCs w:val="28"/>
        </w:rPr>
        <w:t>разн</w:t>
      </w:r>
      <w:r w:rsidR="00DD1458">
        <w:rPr>
          <w:rFonts w:ascii="Times New Roman" w:hAnsi="Times New Roman" w:cs="Times New Roman"/>
          <w:sz w:val="28"/>
          <w:szCs w:val="28"/>
        </w:rPr>
        <w:t>ых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A8242F">
        <w:rPr>
          <w:rFonts w:ascii="Times New Roman" w:hAnsi="Times New Roman" w:cs="Times New Roman"/>
          <w:sz w:val="28"/>
          <w:szCs w:val="28"/>
        </w:rPr>
        <w:t>разделов</w:t>
      </w:r>
      <w:r w:rsidR="0057535B" w:rsidRPr="005350EA">
        <w:rPr>
          <w:rFonts w:ascii="Times New Roman" w:hAnsi="Times New Roman" w:cs="Times New Roman"/>
          <w:sz w:val="28"/>
          <w:szCs w:val="28"/>
        </w:rPr>
        <w:t>. С предложенн</w:t>
      </w:r>
      <w:r w:rsidR="00C0016E">
        <w:rPr>
          <w:rFonts w:ascii="Times New Roman" w:hAnsi="Times New Roman" w:cs="Times New Roman"/>
          <w:sz w:val="28"/>
          <w:szCs w:val="28"/>
        </w:rPr>
        <w:t>ой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C0016E">
        <w:rPr>
          <w:rFonts w:ascii="Times New Roman" w:hAnsi="Times New Roman" w:cs="Times New Roman"/>
          <w:sz w:val="28"/>
          <w:szCs w:val="28"/>
        </w:rPr>
        <w:t>работой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 справились </w:t>
      </w:r>
      <w:r w:rsidR="00056AB2">
        <w:rPr>
          <w:rFonts w:ascii="Times New Roman" w:hAnsi="Times New Roman" w:cs="Times New Roman"/>
          <w:sz w:val="28"/>
          <w:szCs w:val="28"/>
        </w:rPr>
        <w:t>80,7</w:t>
      </w:r>
      <w:r w:rsidR="0057535B">
        <w:rPr>
          <w:rFonts w:ascii="Times New Roman" w:hAnsi="Times New Roman" w:cs="Times New Roman"/>
          <w:sz w:val="28"/>
          <w:szCs w:val="28"/>
        </w:rPr>
        <w:t xml:space="preserve"> 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% учителей, качество при этом составило </w:t>
      </w:r>
      <w:r w:rsidR="00E52217">
        <w:rPr>
          <w:rFonts w:ascii="Times New Roman" w:hAnsi="Times New Roman" w:cs="Times New Roman"/>
          <w:sz w:val="28"/>
          <w:szCs w:val="28"/>
        </w:rPr>
        <w:t>19,2</w:t>
      </w:r>
      <w:r w:rsidR="0057535B" w:rsidRPr="005350EA">
        <w:rPr>
          <w:rFonts w:ascii="Times New Roman" w:hAnsi="Times New Roman" w:cs="Times New Roman"/>
          <w:sz w:val="28"/>
          <w:szCs w:val="28"/>
        </w:rPr>
        <w:t>%</w:t>
      </w:r>
      <w:r w:rsidR="0044002A">
        <w:rPr>
          <w:rFonts w:ascii="Times New Roman" w:hAnsi="Times New Roman" w:cs="Times New Roman"/>
          <w:sz w:val="28"/>
          <w:szCs w:val="28"/>
        </w:rPr>
        <w:t>, средний балл-2,9%</w:t>
      </w:r>
      <w:r w:rsidR="0057535B" w:rsidRPr="005350EA">
        <w:rPr>
          <w:rFonts w:ascii="Times New Roman" w:hAnsi="Times New Roman" w:cs="Times New Roman"/>
          <w:sz w:val="28"/>
          <w:szCs w:val="28"/>
        </w:rPr>
        <w:t xml:space="preserve">. </w:t>
      </w:r>
      <w:r w:rsidR="0057535B" w:rsidRPr="00A8242F">
        <w:rPr>
          <w:rFonts w:ascii="Times New Roman" w:hAnsi="Times New Roman" w:cs="Times New Roman"/>
          <w:sz w:val="28"/>
          <w:szCs w:val="28"/>
        </w:rPr>
        <w:t>Процент выполнен</w:t>
      </w:r>
      <w:r w:rsidR="00C0016E" w:rsidRPr="00A8242F">
        <w:rPr>
          <w:rFonts w:ascii="Times New Roman" w:hAnsi="Times New Roman" w:cs="Times New Roman"/>
          <w:sz w:val="28"/>
          <w:szCs w:val="28"/>
        </w:rPr>
        <w:t>ия</w:t>
      </w:r>
      <w:r w:rsidR="0057535B" w:rsidRPr="00A8242F">
        <w:rPr>
          <w:rFonts w:ascii="Times New Roman" w:hAnsi="Times New Roman" w:cs="Times New Roman"/>
          <w:sz w:val="28"/>
          <w:szCs w:val="28"/>
        </w:rPr>
        <w:t xml:space="preserve"> </w:t>
      </w:r>
      <w:r w:rsidR="00C0016E" w:rsidRPr="00A8242F">
        <w:rPr>
          <w:rFonts w:ascii="Times New Roman" w:hAnsi="Times New Roman" w:cs="Times New Roman"/>
          <w:sz w:val="28"/>
          <w:szCs w:val="28"/>
        </w:rPr>
        <w:t>заданий</w:t>
      </w:r>
      <w:r w:rsidR="0057535B" w:rsidRPr="00A8242F">
        <w:rPr>
          <w:rFonts w:ascii="Times New Roman" w:hAnsi="Times New Roman" w:cs="Times New Roman"/>
          <w:sz w:val="28"/>
          <w:szCs w:val="28"/>
        </w:rPr>
        <w:t xml:space="preserve"> составляет 57,9%.</w:t>
      </w:r>
    </w:p>
    <w:p w:rsidR="0057535B" w:rsidRDefault="0057535B" w:rsidP="00D97A5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Наибольшие затруднения вызвали задания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50EA">
        <w:rPr>
          <w:rFonts w:ascii="Times New Roman" w:hAnsi="Times New Roman" w:cs="Times New Roman"/>
          <w:sz w:val="28"/>
          <w:szCs w:val="28"/>
        </w:rPr>
        <w:t>о разделам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CD0">
        <w:rPr>
          <w:rFonts w:ascii="Times New Roman" w:hAnsi="Times New Roman" w:cs="Times New Roman"/>
          <w:sz w:val="28"/>
          <w:szCs w:val="28"/>
        </w:rPr>
        <w:t>«</w:t>
      </w:r>
      <w:r w:rsidRPr="00E42CD0">
        <w:rPr>
          <w:rFonts w:ascii="Times New Roman" w:hAnsi="Times New Roman" w:cs="Times New Roman"/>
          <w:color w:val="000000"/>
          <w:sz w:val="28"/>
          <w:szCs w:val="28"/>
        </w:rPr>
        <w:t>Системат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изация исторической информации: </w:t>
      </w:r>
      <w:r w:rsidRPr="00E42CD0">
        <w:rPr>
          <w:rFonts w:ascii="Times New Roman" w:hAnsi="Times New Roman" w:cs="Times New Roman"/>
          <w:color w:val="000000"/>
          <w:sz w:val="28"/>
          <w:szCs w:val="28"/>
        </w:rPr>
        <w:t>множественный выбор</w:t>
      </w:r>
      <w:r>
        <w:rPr>
          <w:rFonts w:ascii="Times New Roman" w:hAnsi="Times New Roman" w:cs="Times New Roman"/>
          <w:color w:val="000000"/>
          <w:sz w:val="28"/>
          <w:szCs w:val="28"/>
        </w:rPr>
        <w:t>» и «</w:t>
      </w:r>
      <w:r w:rsidRPr="00445000">
        <w:rPr>
          <w:rFonts w:ascii="Times New Roman" w:hAnsi="Times New Roman" w:cs="Times New Roman"/>
          <w:color w:val="000000"/>
          <w:sz w:val="28"/>
          <w:szCs w:val="28"/>
        </w:rPr>
        <w:t>Систематизация исторической информации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E74F0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97195">
        <w:rPr>
          <w:rFonts w:ascii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28,8% участн</w:t>
      </w:r>
      <w:r w:rsidR="00297195">
        <w:rPr>
          <w:rFonts w:ascii="Times New Roman" w:hAnsi="Times New Roman" w:cs="Times New Roman"/>
          <w:sz w:val="28"/>
          <w:szCs w:val="28"/>
        </w:rPr>
        <w:t xml:space="preserve">иков диагностики </w:t>
      </w:r>
      <w:r w:rsidR="00C0016E">
        <w:rPr>
          <w:rFonts w:ascii="Times New Roman" w:hAnsi="Times New Roman" w:cs="Times New Roman"/>
          <w:sz w:val="28"/>
          <w:szCs w:val="28"/>
        </w:rPr>
        <w:t xml:space="preserve">выполнили эти задания </w:t>
      </w:r>
      <w:r w:rsidR="00297195">
        <w:rPr>
          <w:rFonts w:ascii="Times New Roman" w:hAnsi="Times New Roman" w:cs="Times New Roman"/>
          <w:sz w:val="28"/>
          <w:szCs w:val="28"/>
        </w:rPr>
        <w:t>верно.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19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разделу «</w:t>
      </w:r>
      <w:r w:rsidRPr="0057535B">
        <w:rPr>
          <w:rFonts w:ascii="Times New Roman" w:hAnsi="Times New Roman" w:cs="Times New Roman"/>
          <w:sz w:val="28"/>
          <w:szCs w:val="28"/>
        </w:rPr>
        <w:t>Анализ иллюстративного материала</w:t>
      </w:r>
      <w:r w:rsidR="00C0016E">
        <w:rPr>
          <w:rFonts w:ascii="Times New Roman" w:hAnsi="Times New Roman" w:cs="Times New Roman"/>
          <w:sz w:val="28"/>
          <w:szCs w:val="28"/>
        </w:rPr>
        <w:t>» верно</w:t>
      </w:r>
      <w:r w:rsidR="00A8242F">
        <w:rPr>
          <w:rFonts w:ascii="Times New Roman" w:hAnsi="Times New Roman" w:cs="Times New Roman"/>
          <w:sz w:val="28"/>
          <w:szCs w:val="28"/>
        </w:rPr>
        <w:t xml:space="preserve"> выполнили задания</w:t>
      </w:r>
      <w:r w:rsidR="00C0016E">
        <w:rPr>
          <w:rFonts w:ascii="Times New Roman" w:hAnsi="Times New Roman" w:cs="Times New Roman"/>
          <w:sz w:val="28"/>
          <w:szCs w:val="28"/>
        </w:rPr>
        <w:t xml:space="preserve"> 50% уч</w:t>
      </w:r>
      <w:r w:rsidR="00A8242F">
        <w:rPr>
          <w:rFonts w:ascii="Times New Roman" w:hAnsi="Times New Roman" w:cs="Times New Roman"/>
          <w:sz w:val="28"/>
          <w:szCs w:val="28"/>
        </w:rPr>
        <w:t>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535B" w:rsidRPr="00445000" w:rsidRDefault="00B71995" w:rsidP="00D97A5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7535B">
        <w:rPr>
          <w:rFonts w:ascii="Times New Roman" w:hAnsi="Times New Roman" w:cs="Times New Roman"/>
          <w:sz w:val="28"/>
          <w:szCs w:val="28"/>
        </w:rPr>
        <w:t>С разделом «</w:t>
      </w:r>
      <w:r w:rsidR="0057535B" w:rsidRPr="00445000">
        <w:rPr>
          <w:rFonts w:ascii="Times New Roman" w:hAnsi="Times New Roman" w:cs="Times New Roman"/>
          <w:sz w:val="28"/>
          <w:szCs w:val="28"/>
        </w:rPr>
        <w:t>Анализ текстовых исторических источников</w:t>
      </w:r>
      <w:r w:rsidR="0057535B">
        <w:rPr>
          <w:rFonts w:ascii="Times New Roman" w:hAnsi="Times New Roman" w:cs="Times New Roman"/>
          <w:sz w:val="28"/>
          <w:szCs w:val="28"/>
        </w:rPr>
        <w:t>» справились 84,6 % участников.</w:t>
      </w:r>
    </w:p>
    <w:p w:rsidR="00B71995" w:rsidRPr="00B71995" w:rsidRDefault="00B71995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71995">
        <w:rPr>
          <w:rFonts w:ascii="Times New Roman" w:hAnsi="Times New Roman" w:cs="Times New Roman"/>
          <w:sz w:val="28"/>
          <w:szCs w:val="28"/>
        </w:rPr>
        <w:t>В соответствии с данными результатами учителям истории рекоменд</w:t>
      </w:r>
      <w:r>
        <w:rPr>
          <w:rFonts w:ascii="Times New Roman" w:hAnsi="Times New Roman" w:cs="Times New Roman"/>
          <w:sz w:val="28"/>
          <w:szCs w:val="28"/>
        </w:rPr>
        <w:t>уем</w:t>
      </w:r>
      <w:r w:rsidRPr="00B71995">
        <w:rPr>
          <w:rFonts w:ascii="Times New Roman" w:hAnsi="Times New Roman" w:cs="Times New Roman"/>
          <w:sz w:val="28"/>
          <w:szCs w:val="28"/>
        </w:rPr>
        <w:t>:</w:t>
      </w:r>
    </w:p>
    <w:p w:rsidR="00B71995" w:rsidRPr="00B71995" w:rsidRDefault="00B71995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71995">
        <w:rPr>
          <w:rFonts w:ascii="Times New Roman" w:hAnsi="Times New Roman" w:cs="Times New Roman"/>
          <w:sz w:val="28"/>
          <w:szCs w:val="28"/>
        </w:rPr>
        <w:t>1.</w:t>
      </w:r>
      <w:r w:rsidRPr="00B7199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</w:t>
      </w:r>
      <w:r w:rsidRPr="00B71995">
        <w:rPr>
          <w:rFonts w:ascii="Times New Roman" w:hAnsi="Times New Roman" w:cs="Times New Roman"/>
          <w:sz w:val="28"/>
          <w:szCs w:val="28"/>
        </w:rPr>
        <w:t>ольше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1995">
        <w:rPr>
          <w:rFonts w:ascii="Times New Roman" w:hAnsi="Times New Roman" w:cs="Times New Roman"/>
          <w:sz w:val="28"/>
          <w:szCs w:val="28"/>
        </w:rPr>
        <w:t xml:space="preserve">внимания уделять </w:t>
      </w:r>
      <w:r>
        <w:rPr>
          <w:rFonts w:ascii="Times New Roman" w:hAnsi="Times New Roman" w:cs="Times New Roman"/>
          <w:sz w:val="28"/>
          <w:szCs w:val="28"/>
        </w:rPr>
        <w:t>изучению раздел</w:t>
      </w:r>
      <w:r w:rsidR="001661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71995">
        <w:rPr>
          <w:rFonts w:ascii="Times New Roman" w:hAnsi="Times New Roman" w:cs="Times New Roman"/>
          <w:sz w:val="28"/>
          <w:szCs w:val="28"/>
        </w:rPr>
        <w:t>Систематизация исторической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71995">
        <w:rPr>
          <w:rFonts w:ascii="Times New Roman" w:hAnsi="Times New Roman" w:cs="Times New Roman"/>
          <w:sz w:val="28"/>
          <w:szCs w:val="28"/>
        </w:rPr>
        <w:t xml:space="preserve"> и совершенствовать умени</w:t>
      </w:r>
      <w:r w:rsidR="00297195">
        <w:rPr>
          <w:rFonts w:ascii="Times New Roman" w:hAnsi="Times New Roman" w:cs="Times New Roman"/>
          <w:sz w:val="28"/>
          <w:szCs w:val="28"/>
        </w:rPr>
        <w:t>я</w:t>
      </w:r>
      <w:r w:rsidRPr="00B71995">
        <w:rPr>
          <w:rFonts w:ascii="Times New Roman" w:hAnsi="Times New Roman" w:cs="Times New Roman"/>
          <w:sz w:val="28"/>
          <w:szCs w:val="28"/>
        </w:rPr>
        <w:t xml:space="preserve"> </w:t>
      </w:r>
      <w:r w:rsidR="00297195">
        <w:rPr>
          <w:rFonts w:ascii="Times New Roman" w:hAnsi="Times New Roman" w:cs="Times New Roman"/>
          <w:sz w:val="28"/>
          <w:szCs w:val="28"/>
        </w:rPr>
        <w:t xml:space="preserve">в </w:t>
      </w:r>
      <w:r w:rsidRPr="00B71995">
        <w:rPr>
          <w:rFonts w:ascii="Times New Roman" w:hAnsi="Times New Roman" w:cs="Times New Roman"/>
          <w:sz w:val="28"/>
          <w:szCs w:val="28"/>
        </w:rPr>
        <w:t>использова</w:t>
      </w:r>
      <w:r w:rsidR="00297195">
        <w:rPr>
          <w:rFonts w:ascii="Times New Roman" w:hAnsi="Times New Roman" w:cs="Times New Roman"/>
          <w:sz w:val="28"/>
          <w:szCs w:val="28"/>
        </w:rPr>
        <w:t>нии</w:t>
      </w:r>
      <w:r w:rsidRPr="00B71995">
        <w:rPr>
          <w:rFonts w:ascii="Times New Roman" w:hAnsi="Times New Roman" w:cs="Times New Roman"/>
          <w:sz w:val="28"/>
          <w:szCs w:val="28"/>
        </w:rPr>
        <w:t xml:space="preserve"> контекстн</w:t>
      </w:r>
      <w:r w:rsidR="00297195">
        <w:rPr>
          <w:rFonts w:ascii="Times New Roman" w:hAnsi="Times New Roman" w:cs="Times New Roman"/>
          <w:sz w:val="28"/>
          <w:szCs w:val="28"/>
        </w:rPr>
        <w:t>ой</w:t>
      </w:r>
      <w:r w:rsidRPr="00B71995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297195">
        <w:rPr>
          <w:rFonts w:ascii="Times New Roman" w:hAnsi="Times New Roman" w:cs="Times New Roman"/>
          <w:sz w:val="28"/>
          <w:szCs w:val="28"/>
        </w:rPr>
        <w:t>и</w:t>
      </w:r>
      <w:r w:rsidRPr="00B71995">
        <w:rPr>
          <w:rFonts w:ascii="Times New Roman" w:hAnsi="Times New Roman" w:cs="Times New Roman"/>
          <w:sz w:val="28"/>
          <w:szCs w:val="28"/>
        </w:rPr>
        <w:t xml:space="preserve"> для решения исторических задач</w:t>
      </w:r>
      <w:r w:rsidR="00297195">
        <w:rPr>
          <w:rFonts w:ascii="Times New Roman" w:hAnsi="Times New Roman" w:cs="Times New Roman"/>
          <w:sz w:val="28"/>
          <w:szCs w:val="28"/>
        </w:rPr>
        <w:t>;</w:t>
      </w:r>
    </w:p>
    <w:p w:rsidR="00B71995" w:rsidRDefault="00B71995" w:rsidP="00B71995">
      <w:p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71995">
        <w:rPr>
          <w:rFonts w:ascii="Times New Roman" w:hAnsi="Times New Roman" w:cs="Times New Roman"/>
          <w:sz w:val="28"/>
          <w:szCs w:val="28"/>
        </w:rPr>
        <w:t>.</w:t>
      </w:r>
      <w:r w:rsidRPr="00B71995">
        <w:rPr>
          <w:rFonts w:ascii="Times New Roman" w:hAnsi="Times New Roman" w:cs="Times New Roman"/>
          <w:sz w:val="28"/>
          <w:szCs w:val="28"/>
        </w:rPr>
        <w:tab/>
        <w:t>Следует  обратить внимание на необходимость совершенствования некоторых умений, необходимых для успешного образования по данному профилю (например, умений формулировать аргументы, анализировать историческую ситуацию).</w:t>
      </w:r>
    </w:p>
    <w:p w:rsidR="00B71995" w:rsidRDefault="00B7199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71995" w:rsidRDefault="00B7199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B71995" w:rsidRDefault="00B7199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0016E" w:rsidRDefault="00C0016E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0016E" w:rsidRDefault="00C0016E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C0016E" w:rsidRDefault="00C0016E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1661D5" w:rsidRDefault="001661D5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7535B" w:rsidRDefault="0057535B" w:rsidP="0057535B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D13" w:rsidRPr="005350EA" w:rsidRDefault="005C1D13" w:rsidP="005C1D13">
      <w:pPr>
        <w:spacing w:after="0" w:line="240" w:lineRule="auto"/>
        <w:ind w:left="-567"/>
        <w:rPr>
          <w:rFonts w:ascii="Times New Roman" w:hAnsi="Times New Roman" w:cs="Times New Roman"/>
          <w:b/>
          <w:bCs/>
          <w:sz w:val="28"/>
          <w:szCs w:val="28"/>
        </w:rPr>
      </w:pPr>
      <w:r w:rsidRPr="005350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Статистический анализ результатов диагностики учителей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химии</w:t>
      </w:r>
    </w:p>
    <w:p w:rsidR="005C1D13" w:rsidRPr="005350EA" w:rsidRDefault="005C1D13" w:rsidP="005C1D1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23" w:type="dxa"/>
        <w:tblInd w:w="-572" w:type="dxa"/>
        <w:tblLook w:val="04A0" w:firstRow="1" w:lastRow="0" w:firstColumn="1" w:lastColumn="0" w:noHBand="0" w:noVBand="1"/>
      </w:tblPr>
      <w:tblGrid>
        <w:gridCol w:w="8222"/>
        <w:gridCol w:w="1701"/>
      </w:tblGrid>
      <w:tr w:rsidR="005C1D13" w:rsidRPr="005350EA" w:rsidTr="00E74F05">
        <w:trPr>
          <w:trHeight w:val="89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B9520E" w:rsidRDefault="005C1D13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заданий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1D13" w:rsidRPr="00B9520E" w:rsidRDefault="005C1D13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Электронная конфигурация атома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100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Закономерности изменения химических свойств элементов. Характеристика элементов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Электроотрицательность, степень окисления и валентность химических элементов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Характеристики химических связей. Зависимость свойств веществ от их состава и строения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Классификация и номенклатура неорганических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Свойства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Свойства оснований, амфотерных гидроксидов, кислот и солей. Ионный обмен и диссоциация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62,5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Свойства неорганических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56,25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Свойства неорганических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Взаимосвязь неорганических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68,75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Классификация и номенклатура 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Теория строения органических соединений. Типы связей в молекулах органических веществ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Свойства углеводородов. Получение углеводородов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68,75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Свойства кислородосодержащих соединений. Получение кислородосодержащих соединений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81,25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Свойства азотсодержащих органических соединений. Белки, жиры, углеводы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Характерные химические свойства углеводородов. Механизмы реакций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50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Свой</w:t>
            </w: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ства спиртов, альдегидов, кислот, слож</w:t>
            </w: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эфиров, фенола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Взаимосвязь углеводородов и кислородосодержащих органических соединений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93,75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Классификация химических реакций в неорганической и органической химии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87,5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Скорость реакции, ее зависимость от различных факторов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Реакции окислительно-восстановительные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68,75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 Электролиз расплавов и растворов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56,25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 Гидролиз солей. Среда водных растворов: кислая, нейтральная, щелочная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62,5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 Обратимые и необратимые химические реакции. Химическое равновесие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62,5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 Качественные реакции органических и неорганических соединений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68,75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 Химическая лаборатория. Понятие о металлургии. Химическое загрязнение окружающей среды. Полимеры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6457A4" w:rsidRDefault="005C1D13" w:rsidP="00E74F05">
            <w:pPr>
              <w:jc w:val="center"/>
            </w:pPr>
            <w:r w:rsidRPr="006457A4">
              <w:t>75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 Расчёты с использованием понятия «массовая доля вещества в растворе»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Default="005C1D13" w:rsidP="00E74F05">
            <w:pPr>
              <w:jc w:val="center"/>
            </w:pPr>
            <w:r w:rsidRPr="006457A4">
              <w:t>62,5</w:t>
            </w:r>
          </w:p>
        </w:tc>
      </w:tr>
      <w:tr w:rsidR="005C1D13" w:rsidRPr="005350EA" w:rsidTr="00E74F05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 Расчеты объемных отношений газов при химической реакции. Тепловой эффект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224C63" w:rsidRDefault="005C1D13" w:rsidP="00E74F05">
            <w:pPr>
              <w:jc w:val="center"/>
            </w:pPr>
            <w:r w:rsidRPr="00224C63">
              <w:t>62,5</w:t>
            </w:r>
          </w:p>
        </w:tc>
      </w:tr>
      <w:tr w:rsidR="005C1D13" w:rsidRPr="005350EA" w:rsidTr="00E74F05">
        <w:trPr>
          <w:trHeight w:val="8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8262FA" w:rsidRDefault="005C1D13" w:rsidP="00E74F0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1D13" w:rsidRPr="005350EA" w:rsidTr="00E74F05">
        <w:trPr>
          <w:trHeight w:val="624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 Расчет массы или объема вещества по параметрам одного из участвующих в реакции веществ.</w:t>
            </w:r>
          </w:p>
          <w:p w:rsidR="005C1D13" w:rsidRPr="005350EA" w:rsidRDefault="005C1D13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1D13" w:rsidRPr="00224C63" w:rsidRDefault="005C1D13" w:rsidP="00E74F05">
            <w:pPr>
              <w:jc w:val="center"/>
            </w:pPr>
            <w:r w:rsidRPr="00224C63">
              <w:t>62,5</w:t>
            </w:r>
          </w:p>
        </w:tc>
      </w:tr>
    </w:tbl>
    <w:p w:rsidR="005C1D13" w:rsidRPr="005350EA" w:rsidRDefault="005C1D13" w:rsidP="005C1D1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1D13" w:rsidRPr="005350EA" w:rsidRDefault="005C1D13" w:rsidP="005C1D13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350EA">
        <w:rPr>
          <w:rFonts w:ascii="Times New Roman" w:hAnsi="Times New Roman" w:cs="Times New Roman"/>
          <w:sz w:val="28"/>
          <w:szCs w:val="28"/>
        </w:rPr>
        <w:t xml:space="preserve">В исследовании </w:t>
      </w:r>
      <w:r w:rsidR="00297195">
        <w:rPr>
          <w:rFonts w:ascii="Times New Roman" w:hAnsi="Times New Roman" w:cs="Times New Roman"/>
          <w:sz w:val="28"/>
          <w:szCs w:val="28"/>
        </w:rPr>
        <w:t xml:space="preserve">предметных </w:t>
      </w:r>
      <w:r w:rsidRPr="005350EA">
        <w:rPr>
          <w:rFonts w:ascii="Times New Roman" w:hAnsi="Times New Roman" w:cs="Times New Roman"/>
          <w:sz w:val="28"/>
          <w:szCs w:val="28"/>
        </w:rPr>
        <w:t>компетенции учи</w:t>
      </w:r>
      <w:r>
        <w:rPr>
          <w:rFonts w:ascii="Times New Roman" w:hAnsi="Times New Roman" w:cs="Times New Roman"/>
          <w:sz w:val="28"/>
          <w:szCs w:val="28"/>
        </w:rPr>
        <w:t xml:space="preserve">телей </w:t>
      </w:r>
      <w:r w:rsidR="002971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химии приняли участие 16 педагогов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Сулейман-Стальского </w:t>
      </w:r>
      <w:r w:rsidRPr="005350EA">
        <w:rPr>
          <w:rFonts w:ascii="Times New Roman" w:hAnsi="Times New Roman" w:cs="Times New Roman"/>
          <w:sz w:val="28"/>
          <w:szCs w:val="28"/>
        </w:rPr>
        <w:t xml:space="preserve">района.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50EA">
        <w:rPr>
          <w:rFonts w:ascii="Times New Roman" w:hAnsi="Times New Roman" w:cs="Times New Roman"/>
          <w:sz w:val="28"/>
          <w:szCs w:val="28"/>
        </w:rPr>
        <w:t xml:space="preserve"> заданиями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350EA">
        <w:rPr>
          <w:rFonts w:ascii="Times New Roman" w:hAnsi="Times New Roman" w:cs="Times New Roman"/>
          <w:sz w:val="28"/>
          <w:szCs w:val="28"/>
        </w:rPr>
        <w:t xml:space="preserve">правились </w:t>
      </w:r>
      <w:r>
        <w:rPr>
          <w:rFonts w:ascii="Times New Roman" w:hAnsi="Times New Roman" w:cs="Times New Roman"/>
          <w:sz w:val="28"/>
          <w:szCs w:val="28"/>
        </w:rPr>
        <w:t xml:space="preserve">11 учителей </w:t>
      </w:r>
      <w:r w:rsidR="0029719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68,</w:t>
      </w:r>
      <w:r w:rsidR="00056AB2">
        <w:rPr>
          <w:rFonts w:ascii="Times New Roman" w:hAnsi="Times New Roman" w:cs="Times New Roman"/>
          <w:sz w:val="28"/>
          <w:szCs w:val="28"/>
        </w:rPr>
        <w:t>8</w:t>
      </w:r>
      <w:r w:rsidR="006A776A">
        <w:rPr>
          <w:rFonts w:ascii="Times New Roman" w:hAnsi="Times New Roman" w:cs="Times New Roman"/>
          <w:sz w:val="28"/>
          <w:szCs w:val="28"/>
        </w:rPr>
        <w:t>%</w:t>
      </w:r>
      <w:r w:rsidR="00297195">
        <w:rPr>
          <w:rFonts w:ascii="Times New Roman" w:hAnsi="Times New Roman" w:cs="Times New Roman"/>
          <w:sz w:val="28"/>
          <w:szCs w:val="28"/>
        </w:rPr>
        <w:t>)</w:t>
      </w:r>
      <w:r w:rsidRPr="005350EA">
        <w:rPr>
          <w:rFonts w:ascii="Times New Roman" w:hAnsi="Times New Roman" w:cs="Times New Roman"/>
          <w:sz w:val="28"/>
          <w:szCs w:val="28"/>
        </w:rPr>
        <w:t xml:space="preserve">, качество составило </w:t>
      </w:r>
      <w:r w:rsidR="00E52217">
        <w:rPr>
          <w:rFonts w:ascii="Times New Roman" w:hAnsi="Times New Roman" w:cs="Times New Roman"/>
          <w:sz w:val="28"/>
          <w:szCs w:val="28"/>
        </w:rPr>
        <w:t>56,2</w:t>
      </w:r>
      <w:r>
        <w:rPr>
          <w:rFonts w:ascii="Times New Roman" w:hAnsi="Times New Roman" w:cs="Times New Roman"/>
          <w:sz w:val="28"/>
          <w:szCs w:val="28"/>
        </w:rPr>
        <w:t>%, средний балл – 3,4</w:t>
      </w:r>
      <w:r w:rsidRPr="005350EA">
        <w:rPr>
          <w:rFonts w:ascii="Times New Roman" w:hAnsi="Times New Roman" w:cs="Times New Roman"/>
          <w:sz w:val="28"/>
          <w:szCs w:val="28"/>
        </w:rPr>
        <w:t>.</w:t>
      </w:r>
    </w:p>
    <w:p w:rsidR="005C1D13" w:rsidRPr="005350EA" w:rsidRDefault="005C1D13" w:rsidP="005C1D13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>Кимы для проведения исследования были составлены в соответствии с кодификатором ЕГЭ по химии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5350EA">
        <w:rPr>
          <w:rFonts w:ascii="Times New Roman" w:hAnsi="Times New Roman" w:cs="Times New Roman"/>
          <w:sz w:val="28"/>
          <w:szCs w:val="28"/>
        </w:rPr>
        <w:t>г. и содержали 2</w:t>
      </w:r>
      <w:r>
        <w:rPr>
          <w:rFonts w:ascii="Times New Roman" w:hAnsi="Times New Roman" w:cs="Times New Roman"/>
          <w:sz w:val="28"/>
          <w:szCs w:val="28"/>
        </w:rPr>
        <w:t>1 вопрос базового уровня и 8 заданий повышенного уровня сложности (1-7, 10-15, 18-21, 26-29 – базовый уровень; 8, 9, 16,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17, 22-25 – повышенный уровень).  </w:t>
      </w:r>
      <w:r w:rsidRPr="005350EA">
        <w:rPr>
          <w:rFonts w:ascii="Times New Roman" w:hAnsi="Times New Roman" w:cs="Times New Roman"/>
          <w:sz w:val="28"/>
          <w:szCs w:val="28"/>
        </w:rPr>
        <w:t xml:space="preserve">Средний процент выполнения заданий по району составил </w:t>
      </w:r>
      <w:r>
        <w:rPr>
          <w:rFonts w:ascii="Times New Roman" w:hAnsi="Times New Roman" w:cs="Times New Roman"/>
          <w:sz w:val="28"/>
          <w:szCs w:val="28"/>
        </w:rPr>
        <w:t>73,7</w:t>
      </w:r>
      <w:r w:rsidRPr="005350EA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392998" w:rsidRDefault="005C1D13" w:rsidP="005C1D13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в таблице данных можно отметить, что </w:t>
      </w:r>
      <w:r w:rsidRPr="005350EA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="00297195">
        <w:rPr>
          <w:rFonts w:ascii="Times New Roman" w:hAnsi="Times New Roman" w:cs="Times New Roman"/>
          <w:sz w:val="28"/>
          <w:szCs w:val="28"/>
        </w:rPr>
        <w:t>успешно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справились с заданиями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5350E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2-5, 9, 11, 12, 14, 15, 17-20, 26 (75-93,7%). Максимальный процент выполнения зафиксирован </w:t>
      </w:r>
      <w:r w:rsidR="001661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1661D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«Электронная конфигурация  атома»  (100%). </w:t>
      </w:r>
      <w:r w:rsidRPr="00E30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  разделам заданий базового уровня «</w:t>
      </w:r>
      <w:r w:rsidRPr="004B747F">
        <w:rPr>
          <w:rFonts w:ascii="Times New Roman" w:hAnsi="Times New Roman" w:cs="Times New Roman"/>
          <w:sz w:val="28"/>
          <w:szCs w:val="28"/>
        </w:rPr>
        <w:t>Взаимосвязь неорганических веществ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E3AF3">
        <w:rPr>
          <w:rFonts w:ascii="Times New Roman" w:hAnsi="Times New Roman" w:cs="Times New Roman"/>
          <w:sz w:val="28"/>
          <w:szCs w:val="28"/>
        </w:rPr>
        <w:t>Свойства углеводородов. Получение углеводородов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DE3AF3">
        <w:rPr>
          <w:rFonts w:ascii="Times New Roman" w:hAnsi="Times New Roman" w:cs="Times New Roman"/>
          <w:sz w:val="28"/>
          <w:szCs w:val="28"/>
        </w:rPr>
        <w:t>Реакции окислительно-восстановительные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97195">
        <w:rPr>
          <w:rFonts w:ascii="Times New Roman" w:hAnsi="Times New Roman" w:cs="Times New Roman"/>
          <w:sz w:val="28"/>
          <w:szCs w:val="28"/>
        </w:rPr>
        <w:t>,</w:t>
      </w:r>
      <w:r w:rsidR="001661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1DFA">
        <w:rPr>
          <w:rFonts w:ascii="Times New Roman" w:hAnsi="Times New Roman" w:cs="Times New Roman"/>
          <w:sz w:val="28"/>
          <w:szCs w:val="28"/>
        </w:rPr>
        <w:t>Гидролиз солей. Среда водных растворов: кислая, нейтральная, щелочная</w:t>
      </w:r>
      <w:r>
        <w:rPr>
          <w:rFonts w:ascii="Times New Roman" w:hAnsi="Times New Roman" w:cs="Times New Roman"/>
          <w:sz w:val="28"/>
          <w:szCs w:val="28"/>
        </w:rPr>
        <w:t>"</w:t>
      </w:r>
      <w:r w:rsidR="0029719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D1DFA">
        <w:rPr>
          <w:rFonts w:ascii="Times New Roman" w:hAnsi="Times New Roman" w:cs="Times New Roman"/>
          <w:sz w:val="28"/>
          <w:szCs w:val="28"/>
        </w:rPr>
        <w:t>Электролиз расплавов и растворов</w:t>
      </w:r>
      <w:r w:rsidR="0029719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1DFA">
        <w:rPr>
          <w:rFonts w:ascii="Times New Roman" w:hAnsi="Times New Roman" w:cs="Times New Roman"/>
          <w:sz w:val="28"/>
          <w:szCs w:val="28"/>
        </w:rPr>
        <w:t>Обратимые и необратимые химические реакции. Химическое равновесие</w:t>
      </w:r>
      <w:r>
        <w:rPr>
          <w:rFonts w:ascii="Times New Roman" w:hAnsi="Times New Roman" w:cs="Times New Roman"/>
          <w:sz w:val="28"/>
          <w:szCs w:val="28"/>
        </w:rPr>
        <w:t>» справились от 62,5 до 68,7%</w:t>
      </w:r>
      <w:r w:rsidR="001661D5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. Такой же процент выполнения наблюдается  </w:t>
      </w:r>
      <w:r w:rsidR="001661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задания</w:t>
      </w:r>
      <w:r w:rsidR="001661D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№№ 23-25 повышенного уровня сложности. </w:t>
      </w:r>
      <w:r w:rsidR="001661D5">
        <w:rPr>
          <w:rFonts w:ascii="Times New Roman" w:hAnsi="Times New Roman" w:cs="Times New Roman"/>
          <w:sz w:val="28"/>
          <w:szCs w:val="28"/>
        </w:rPr>
        <w:t>Задания повышенного уровня сложности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61D5">
        <w:rPr>
          <w:rFonts w:ascii="Times New Roman" w:hAnsi="Times New Roman" w:cs="Times New Roman"/>
          <w:sz w:val="28"/>
          <w:szCs w:val="28"/>
        </w:rPr>
        <w:t>в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1661D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«Характерные химические свойства у</w:t>
      </w:r>
      <w:r w:rsidR="00392998">
        <w:rPr>
          <w:rFonts w:ascii="Times New Roman" w:hAnsi="Times New Roman" w:cs="Times New Roman"/>
          <w:sz w:val="28"/>
          <w:szCs w:val="28"/>
        </w:rPr>
        <w:t>глеводородов. Механизм реакций»</w:t>
      </w:r>
      <w:r>
        <w:rPr>
          <w:rFonts w:ascii="Times New Roman" w:hAnsi="Times New Roman" w:cs="Times New Roman"/>
          <w:sz w:val="28"/>
          <w:szCs w:val="28"/>
        </w:rPr>
        <w:t xml:space="preserve"> вызвали затруднения, его выполнили </w:t>
      </w:r>
      <w:r w:rsidR="00392998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50 %</w:t>
      </w:r>
      <w:r w:rsidR="001661D5">
        <w:rPr>
          <w:rFonts w:ascii="Times New Roman" w:hAnsi="Times New Roman" w:cs="Times New Roman"/>
          <w:sz w:val="28"/>
          <w:szCs w:val="28"/>
        </w:rPr>
        <w:t xml:space="preserve"> учителей</w:t>
      </w:r>
      <w:r w:rsidR="0039299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1D13" w:rsidRDefault="005C1D13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350EA">
        <w:rPr>
          <w:rFonts w:ascii="Times New Roman" w:hAnsi="Times New Roman" w:cs="Times New Roman"/>
          <w:sz w:val="28"/>
          <w:szCs w:val="28"/>
        </w:rPr>
        <w:t>се 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hAnsi="Times New Roman" w:cs="Times New Roman"/>
          <w:sz w:val="28"/>
          <w:szCs w:val="28"/>
        </w:rPr>
        <w:t>выполнил</w:t>
      </w:r>
      <w:r>
        <w:rPr>
          <w:rFonts w:ascii="Times New Roman" w:hAnsi="Times New Roman" w:cs="Times New Roman"/>
          <w:sz w:val="28"/>
          <w:szCs w:val="28"/>
        </w:rPr>
        <w:t xml:space="preserve"> только один учитель. </w:t>
      </w: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16E" w:rsidRDefault="00C0016E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16E" w:rsidRDefault="00C0016E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16E" w:rsidRDefault="00C0016E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0016E" w:rsidRDefault="00C0016E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D52A2" w:rsidRDefault="00DD52A2" w:rsidP="005C1D13">
      <w:pPr>
        <w:spacing w:after="0" w:line="276" w:lineRule="auto"/>
        <w:ind w:left="-567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34E4F" w:rsidRDefault="00634E4F" w:rsidP="005C1D13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1011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8409"/>
        <w:gridCol w:w="1701"/>
      </w:tblGrid>
      <w:tr w:rsidR="00634E4F" w:rsidTr="00E74F05">
        <w:trPr>
          <w:trHeight w:val="624"/>
        </w:trPr>
        <w:tc>
          <w:tcPr>
            <w:tcW w:w="8409" w:type="dxa"/>
          </w:tcPr>
          <w:p w:rsidR="00634E4F" w:rsidRDefault="00634E4F" w:rsidP="00634E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Статистический анализ результатов диагностики профессиональных компетенций учителей                                    русского языка</w:t>
            </w:r>
          </w:p>
          <w:p w:rsidR="00634E4F" w:rsidRDefault="00634E4F" w:rsidP="00E74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634E4F" w:rsidRDefault="00634E4F" w:rsidP="00E74F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34E4F" w:rsidTr="00E74F05">
        <w:trPr>
          <w:trHeight w:val="694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Default="00634E4F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Разделы заданий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Default="00634E4F" w:rsidP="00E74F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Процент выполнения заданий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1. Определение главной информации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67,57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2. Средства связи предложений в тексте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51,35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3. Определение лексического значения слова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64,86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4. Постановка ударения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89,19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5. Употребление паронимов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89,19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6. Лексические нормы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7. Морфологические нормы (образование форм слова)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51,35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8. Синтаксические нормы. Нормы согласования. Нормы управления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84,86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9. Правописание корней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70,27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10. Правописание приставок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75,68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11. Правописание суффиксов (кроме -Н-/-НН-)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12. Правописание личных окончаний глаголов и суффиксов причастий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75,68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13. Правописание НЕ и НИ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14. Слитное, дефисное, раздельное написание слов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91,89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15. Правописание -Н- и -НН- в суффиксах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70,27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16. Пунктуация в сложносочиненном предложении и в предложении с однородными членами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85,14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17. Знаки препинания в предложениях с обособленными членами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83,78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18. Знаки препинания при словах и конструкциях, не связанных с членами предложения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54,05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19. Знаки препинания в сложноподчиненном предложении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41,89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20. Знаки препинания в сложных предложениях с разными видами связи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51,35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21. Постановка знаков препинания в различных случаях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67,57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22. Смысловая и композиционная целостность текста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32,43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23. Функционально-смысловые типы речи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40,54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34E4F" w:rsidRPr="00CC2F15" w:rsidRDefault="00634E4F" w:rsidP="00E74F05">
            <w:r w:rsidRPr="00CC2F15">
              <w:t>24. Лексическое значение слова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83,78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E4F" w:rsidRPr="00CC2F15" w:rsidRDefault="00634E4F" w:rsidP="00E74F05">
            <w:r w:rsidRPr="00CC2F15">
              <w:t>25. Средства связи предложений в тексте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</w:rPr>
              <w:t>83,78</w:t>
            </w:r>
          </w:p>
        </w:tc>
      </w:tr>
      <w:tr w:rsidR="00634E4F" w:rsidTr="00E74F05">
        <w:trPr>
          <w:trHeight w:val="290"/>
        </w:trPr>
        <w:tc>
          <w:tcPr>
            <w:tcW w:w="8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E4F" w:rsidRPr="00CC2F15" w:rsidRDefault="00634E4F" w:rsidP="00E74F05">
            <w:r w:rsidRPr="00CC2F15">
              <w:t>26. Языковые средства выразительности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E4F" w:rsidRDefault="00634E4F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72,97</w:t>
            </w:r>
          </w:p>
        </w:tc>
      </w:tr>
    </w:tbl>
    <w:p w:rsidR="00634E4F" w:rsidRDefault="00634E4F" w:rsidP="00634E4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357B7">
        <w:rPr>
          <w:rFonts w:ascii="Times New Roman" w:hAnsi="Times New Roman" w:cs="Times New Roman"/>
          <w:sz w:val="28"/>
          <w:szCs w:val="28"/>
        </w:rPr>
        <w:t>В д</w:t>
      </w:r>
      <w:r>
        <w:rPr>
          <w:rFonts w:ascii="Times New Roman" w:hAnsi="Times New Roman" w:cs="Times New Roman"/>
          <w:sz w:val="28"/>
          <w:szCs w:val="28"/>
        </w:rPr>
        <w:t>иагностик</w:t>
      </w:r>
      <w:r w:rsidR="00C357B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определению уровня предметных компетенций </w:t>
      </w:r>
      <w:r w:rsidR="00C357B7">
        <w:rPr>
          <w:rFonts w:ascii="Times New Roman" w:hAnsi="Times New Roman" w:cs="Times New Roman"/>
          <w:sz w:val="28"/>
          <w:szCs w:val="28"/>
        </w:rPr>
        <w:t>учителей русского языка участвовали 37 учителей ОО Сулейман-Стальского района. Тестовый материал был подготовлен специалистами ДИРО, который состоял из 26 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7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ценивание работ проводил</w:t>
      </w:r>
      <w:r w:rsidR="00C357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сь по критериям оценки знаний выпускников 11 класса. </w:t>
      </w:r>
      <w:r w:rsidRPr="005350EA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результатам проведенной диагностики </w:t>
      </w:r>
      <w:r w:rsidR="00056AB2">
        <w:rPr>
          <w:rFonts w:ascii="Times New Roman" w:hAnsi="Times New Roman" w:cs="Times New Roman"/>
          <w:sz w:val="28"/>
          <w:szCs w:val="28"/>
        </w:rPr>
        <w:t>91,8</w:t>
      </w:r>
      <w:r>
        <w:rPr>
          <w:rFonts w:ascii="Times New Roman" w:hAnsi="Times New Roman" w:cs="Times New Roman"/>
          <w:sz w:val="28"/>
          <w:szCs w:val="28"/>
        </w:rPr>
        <w:t>% (34 чел.)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учителей справились с предложенными заданиями. Качественный показа</w:t>
      </w:r>
      <w:r w:rsidR="0044002A">
        <w:rPr>
          <w:rFonts w:ascii="Times New Roman" w:hAnsi="Times New Roman" w:cs="Times New Roman"/>
          <w:sz w:val="28"/>
          <w:szCs w:val="28"/>
        </w:rPr>
        <w:t>тель составляет 48,6% (18 чел.), средний балл-3,5.</w:t>
      </w:r>
      <w:r w:rsidRPr="001C6F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D52A2">
        <w:rPr>
          <w:rFonts w:ascii="Times New Roman" w:hAnsi="Times New Roman" w:cs="Times New Roman"/>
          <w:sz w:val="28"/>
          <w:szCs w:val="28"/>
        </w:rPr>
        <w:t xml:space="preserve">Средний процент выполнения диагностических </w:t>
      </w:r>
      <w:r w:rsidR="00C357B7" w:rsidRPr="00DD52A2">
        <w:rPr>
          <w:rFonts w:ascii="Times New Roman" w:hAnsi="Times New Roman" w:cs="Times New Roman"/>
          <w:sz w:val="28"/>
          <w:szCs w:val="28"/>
        </w:rPr>
        <w:t>заданий</w:t>
      </w:r>
      <w:r w:rsidRPr="00DD52A2">
        <w:rPr>
          <w:rFonts w:ascii="Times New Roman" w:hAnsi="Times New Roman" w:cs="Times New Roman"/>
          <w:sz w:val="28"/>
          <w:szCs w:val="28"/>
        </w:rPr>
        <w:t xml:space="preserve"> педагогами составил 72,7%. </w:t>
      </w:r>
      <w:r>
        <w:rPr>
          <w:rFonts w:ascii="Times New Roman" w:hAnsi="Times New Roman" w:cs="Times New Roman"/>
          <w:sz w:val="28"/>
          <w:szCs w:val="28"/>
        </w:rPr>
        <w:t xml:space="preserve">100% выполнение заданий не наблюдается ни по одному разделу. С заданием по </w:t>
      </w:r>
      <w:r w:rsidRPr="005350EA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ю средств связи предложений в тексте и морфологически</w:t>
      </w:r>
      <w:r w:rsidR="00C357B7">
        <w:rPr>
          <w:rFonts w:ascii="Times New Roman" w:hAnsi="Times New Roman" w:cs="Times New Roman"/>
          <w:sz w:val="28"/>
          <w:szCs w:val="28"/>
        </w:rPr>
        <w:t xml:space="preserve">х норм (образование форм слов) </w:t>
      </w:r>
      <w:r>
        <w:rPr>
          <w:rFonts w:ascii="Times New Roman" w:hAnsi="Times New Roman" w:cs="Times New Roman"/>
          <w:sz w:val="28"/>
          <w:szCs w:val="28"/>
        </w:rPr>
        <w:t>справились 51,35% участников исследования. А по разделам «</w:t>
      </w:r>
      <w:r w:rsidRPr="00DA5FEB">
        <w:rPr>
          <w:rFonts w:ascii="Times New Roman" w:hAnsi="Times New Roman" w:cs="Times New Roman"/>
          <w:sz w:val="28"/>
          <w:szCs w:val="28"/>
        </w:rPr>
        <w:t>Смысловая и композиционная целостность текста</w:t>
      </w:r>
      <w:r>
        <w:rPr>
          <w:rFonts w:ascii="Times New Roman" w:hAnsi="Times New Roman" w:cs="Times New Roman"/>
          <w:sz w:val="28"/>
          <w:szCs w:val="28"/>
        </w:rPr>
        <w:t>»-32,43%,</w:t>
      </w:r>
      <w:r w:rsidRPr="00B53605">
        <w:t xml:space="preserve"> </w:t>
      </w:r>
      <w:r>
        <w:t>«</w:t>
      </w:r>
      <w:r w:rsidRPr="00B53605">
        <w:rPr>
          <w:rFonts w:ascii="Times New Roman" w:hAnsi="Times New Roman" w:cs="Times New Roman"/>
          <w:sz w:val="28"/>
          <w:szCs w:val="28"/>
        </w:rPr>
        <w:t>Функционально-смысловые типы речи</w:t>
      </w:r>
      <w:r>
        <w:rPr>
          <w:rFonts w:ascii="Times New Roman" w:hAnsi="Times New Roman" w:cs="Times New Roman"/>
          <w:sz w:val="28"/>
          <w:szCs w:val="28"/>
        </w:rPr>
        <w:t>»-40,54%. В работе с заданиями по применению знаков препинания в предложениях свою компетентность продемонстрировали от 41,89 - 54% учителей.</w:t>
      </w:r>
      <w:r w:rsidRPr="00DA5F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8 разделам русского языка процент выполнения заданий составил от 80 до 91.</w:t>
      </w:r>
      <w:r w:rsidR="008A38F7">
        <w:rPr>
          <w:rFonts w:ascii="Times New Roman" w:hAnsi="Times New Roman" w:cs="Times New Roman"/>
          <w:sz w:val="28"/>
          <w:szCs w:val="28"/>
        </w:rPr>
        <w:t xml:space="preserve"> Выполнение 10 тестовых заданий педагогами вызывает обоснованную тревогу.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634E4F" w:rsidRDefault="00634E4F" w:rsidP="00634E4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одних и тех же ошибок в ответах вызывает сомнение в объективности проведенной диагностики.</w:t>
      </w:r>
    </w:p>
    <w:p w:rsidR="00634E4F" w:rsidRDefault="00634E4F" w:rsidP="00634E4F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 самим учителям выбирать пути повышения предметных компетенций. Органам управления образованием, методическим службам района и </w:t>
      </w:r>
      <w:r w:rsidR="00AB56E2">
        <w:rPr>
          <w:rFonts w:ascii="Times New Roman" w:hAnsi="Times New Roman" w:cs="Times New Roman"/>
          <w:sz w:val="28"/>
          <w:szCs w:val="28"/>
        </w:rPr>
        <w:t>общеобразовательных 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наметить пути выхода из создавшегося положения. Кафедре </w:t>
      </w:r>
      <w:r w:rsidR="00AB56E2">
        <w:rPr>
          <w:rFonts w:ascii="Times New Roman" w:hAnsi="Times New Roman" w:cs="Times New Roman"/>
          <w:sz w:val="28"/>
          <w:szCs w:val="28"/>
        </w:rPr>
        <w:t xml:space="preserve">филологии </w:t>
      </w:r>
      <w:r>
        <w:rPr>
          <w:rFonts w:ascii="Times New Roman" w:hAnsi="Times New Roman" w:cs="Times New Roman"/>
          <w:sz w:val="28"/>
          <w:szCs w:val="28"/>
        </w:rPr>
        <w:t xml:space="preserve">ДИРО при составлении программ по организации курсов ПК для учителей Сулейман-Стальского района рекомендуем руководствоваться результатами диагностических работ. </w:t>
      </w:r>
    </w:p>
    <w:p w:rsidR="0062440E" w:rsidRPr="005350EA" w:rsidRDefault="00634E4F" w:rsidP="006244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B6E2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440E" w:rsidRDefault="0062440E" w:rsidP="0062440E">
      <w:pPr>
        <w:spacing w:after="0" w:line="276" w:lineRule="auto"/>
        <w:ind w:left="-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35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Статистический анализ результатов диагностики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профессиональных компетенций </w:t>
      </w:r>
      <w:r w:rsidRPr="00535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50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биологии</w:t>
      </w:r>
    </w:p>
    <w:p w:rsidR="0062440E" w:rsidRPr="005350EA" w:rsidRDefault="0062440E" w:rsidP="0062440E">
      <w:pPr>
        <w:spacing w:after="0" w:line="276" w:lineRule="auto"/>
        <w:ind w:left="-567"/>
        <w:rPr>
          <w:rFonts w:ascii="Times New Roman" w:hAnsi="Times New Roman" w:cs="Times New Roman"/>
          <w:sz w:val="28"/>
          <w:szCs w:val="28"/>
        </w:rPr>
      </w:pPr>
    </w:p>
    <w:tbl>
      <w:tblPr>
        <w:tblW w:w="85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521"/>
        <w:gridCol w:w="1984"/>
      </w:tblGrid>
      <w:tr w:rsidR="0062440E" w:rsidRPr="005350EA" w:rsidTr="00E74F05">
        <w:trPr>
          <w:trHeight w:val="855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B9520E" w:rsidRDefault="0062440E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Разделы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40E" w:rsidRPr="00B9520E" w:rsidRDefault="0062440E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952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Процент выполнения заданий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Биологические термины и понятия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</w:tr>
      <w:tr w:rsidR="0062440E" w:rsidRPr="005350EA" w:rsidTr="00E74F05">
        <w:trPr>
          <w:trHeight w:val="6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Биология как наука. Методы научного познания. Уровни организации живого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63,6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Генетическая информация в клетке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Клетка как биологическая система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54,5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Жизненный цикл клетки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Скрещивание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45,5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Генетические закономерности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Воспроизведение организмов. Онтогенез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45,5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 Многообразие организмов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77,3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 Царства Бактерии, Грибы, Лишайники, Растения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81,8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 Основные систематические категории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86,4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 Организм человека. Ткани. Органы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72,7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 Органы и системы органов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77,3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 Организм человека и гигиена человека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77,3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 Эволюция живой природы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54,5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 Движущие силы эволюции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31,8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 Экосистемы и присущие им закономерности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 Среды жизни. Биосфера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27,3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 Общебиологические закономерности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 Человек и его здоровье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59,1</w:t>
            </w:r>
          </w:p>
        </w:tc>
      </w:tr>
      <w:tr w:rsidR="0062440E" w:rsidRPr="005350EA" w:rsidTr="00E74F05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Pr="005350EA" w:rsidRDefault="0062440E" w:rsidP="00E74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 Общебиологические закономерности. Человек и его здоровье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40E" w:rsidRDefault="0062440E" w:rsidP="00E74F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13,6</w:t>
            </w:r>
          </w:p>
        </w:tc>
      </w:tr>
    </w:tbl>
    <w:p w:rsidR="0062440E" w:rsidRPr="005350EA" w:rsidRDefault="0062440E" w:rsidP="0062440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440E" w:rsidRPr="001C6F10" w:rsidRDefault="0062440E" w:rsidP="0062440E">
      <w:pPr>
        <w:spacing w:after="0" w:line="276" w:lineRule="auto"/>
        <w:ind w:left="-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350EA">
        <w:rPr>
          <w:rFonts w:ascii="Times New Roman" w:hAnsi="Times New Roman" w:cs="Times New Roman"/>
          <w:sz w:val="28"/>
          <w:szCs w:val="28"/>
        </w:rPr>
        <w:t xml:space="preserve">В мониторинге </w:t>
      </w:r>
      <w:r>
        <w:rPr>
          <w:rFonts w:ascii="Times New Roman" w:hAnsi="Times New Roman" w:cs="Times New Roman"/>
          <w:sz w:val="28"/>
          <w:szCs w:val="28"/>
        </w:rPr>
        <w:t xml:space="preserve">по определению уровня предметных компетенций </w:t>
      </w:r>
      <w:r w:rsidRPr="005350EA">
        <w:rPr>
          <w:rFonts w:ascii="Times New Roman" w:hAnsi="Times New Roman" w:cs="Times New Roman"/>
          <w:sz w:val="28"/>
          <w:szCs w:val="28"/>
        </w:rPr>
        <w:t xml:space="preserve">учителей по биологии приняли участие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350EA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а.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использованы </w:t>
      </w:r>
      <w:r w:rsidR="008A38F7">
        <w:rPr>
          <w:rFonts w:ascii="Times New Roman" w:hAnsi="Times New Roman" w:cs="Times New Roman"/>
          <w:sz w:val="28"/>
          <w:szCs w:val="28"/>
        </w:rPr>
        <w:t xml:space="preserve">тестовые </w:t>
      </w:r>
      <w:r>
        <w:rPr>
          <w:rFonts w:ascii="Times New Roman" w:hAnsi="Times New Roman" w:cs="Times New Roman"/>
          <w:sz w:val="28"/>
          <w:szCs w:val="28"/>
        </w:rPr>
        <w:t>задания и критерии по оцениванию работ, предназначенные для выпускников 11 класса. Не</w:t>
      </w:r>
      <w:r w:rsidRPr="005350EA">
        <w:rPr>
          <w:rFonts w:ascii="Times New Roman" w:hAnsi="Times New Roman" w:cs="Times New Roman"/>
          <w:sz w:val="28"/>
          <w:szCs w:val="28"/>
        </w:rPr>
        <w:t xml:space="preserve"> преодолели минимальный порог</w:t>
      </w:r>
      <w:r>
        <w:rPr>
          <w:rFonts w:ascii="Times New Roman" w:hAnsi="Times New Roman" w:cs="Times New Roman"/>
          <w:sz w:val="28"/>
          <w:szCs w:val="28"/>
        </w:rPr>
        <w:t xml:space="preserve"> 6 (27,2%) участников исследования</w:t>
      </w:r>
      <w:r w:rsidRPr="005350EA">
        <w:rPr>
          <w:rFonts w:ascii="Times New Roman" w:hAnsi="Times New Roman" w:cs="Times New Roman"/>
          <w:sz w:val="28"/>
          <w:szCs w:val="28"/>
        </w:rPr>
        <w:t xml:space="preserve">. Успеваемость составляет </w:t>
      </w:r>
      <w:r w:rsidR="006A3278">
        <w:rPr>
          <w:rFonts w:ascii="Times New Roman" w:hAnsi="Times New Roman" w:cs="Times New Roman"/>
          <w:sz w:val="28"/>
          <w:szCs w:val="28"/>
        </w:rPr>
        <w:t>72,8</w:t>
      </w:r>
      <w:r w:rsidRPr="005350EA">
        <w:rPr>
          <w:rFonts w:ascii="Times New Roman" w:hAnsi="Times New Roman" w:cs="Times New Roman"/>
          <w:sz w:val="28"/>
          <w:szCs w:val="28"/>
        </w:rPr>
        <w:t xml:space="preserve">%, а качество </w:t>
      </w:r>
      <w:r w:rsidR="006A3278">
        <w:rPr>
          <w:rFonts w:ascii="Times New Roman" w:hAnsi="Times New Roman" w:cs="Times New Roman"/>
          <w:sz w:val="28"/>
          <w:szCs w:val="28"/>
        </w:rPr>
        <w:t>-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FA647B">
        <w:rPr>
          <w:rFonts w:ascii="Times New Roman" w:hAnsi="Times New Roman" w:cs="Times New Roman"/>
          <w:sz w:val="28"/>
          <w:szCs w:val="28"/>
        </w:rPr>
        <w:t>18,1</w:t>
      </w:r>
      <w:r w:rsidRPr="005350EA">
        <w:rPr>
          <w:rFonts w:ascii="Times New Roman" w:hAnsi="Times New Roman" w:cs="Times New Roman"/>
          <w:sz w:val="28"/>
          <w:szCs w:val="28"/>
        </w:rPr>
        <w:t xml:space="preserve">%. </w:t>
      </w:r>
      <w:r w:rsidR="00DC2DA3">
        <w:rPr>
          <w:rFonts w:ascii="Times New Roman" w:hAnsi="Times New Roman" w:cs="Times New Roman"/>
          <w:sz w:val="28"/>
          <w:szCs w:val="28"/>
        </w:rPr>
        <w:t>Средний балл-</w:t>
      </w:r>
      <w:r w:rsidR="0044002A">
        <w:rPr>
          <w:rFonts w:ascii="Times New Roman" w:hAnsi="Times New Roman" w:cs="Times New Roman"/>
          <w:sz w:val="28"/>
          <w:szCs w:val="28"/>
        </w:rPr>
        <w:t>2,9.</w:t>
      </w:r>
      <w:r w:rsidR="00DC2DA3">
        <w:rPr>
          <w:rFonts w:ascii="Times New Roman" w:hAnsi="Times New Roman" w:cs="Times New Roman"/>
          <w:sz w:val="28"/>
          <w:szCs w:val="28"/>
        </w:rPr>
        <w:t xml:space="preserve"> </w:t>
      </w:r>
      <w:r w:rsidR="00297195" w:rsidRPr="00DD52A2">
        <w:rPr>
          <w:rFonts w:ascii="Times New Roman" w:hAnsi="Times New Roman" w:cs="Times New Roman"/>
          <w:sz w:val="28"/>
          <w:szCs w:val="28"/>
        </w:rPr>
        <w:t>Средний п</w:t>
      </w:r>
      <w:r w:rsidRPr="00DD52A2">
        <w:rPr>
          <w:rFonts w:ascii="Times New Roman" w:hAnsi="Times New Roman" w:cs="Times New Roman"/>
          <w:sz w:val="28"/>
          <w:szCs w:val="28"/>
        </w:rPr>
        <w:t xml:space="preserve">роцент выполнения заданий составляет 58,7%. </w:t>
      </w:r>
    </w:p>
    <w:p w:rsidR="0062440E" w:rsidRPr="0062440E" w:rsidRDefault="0062440E" w:rsidP="006244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Несложными для учителей оказались вопросы по биологическим терминам и понятиям (100% выполнение). </w:t>
      </w:r>
      <w:r w:rsidR="00CD021C">
        <w:rPr>
          <w:rFonts w:ascii="Times New Roman" w:hAnsi="Times New Roman" w:cs="Times New Roman"/>
          <w:sz w:val="28"/>
          <w:szCs w:val="28"/>
        </w:rPr>
        <w:t>Низкий уровень знаний продемонстрировали учителя при выполнении заданий из разделов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A2B39">
        <w:rPr>
          <w:rFonts w:ascii="Times New Roman" w:hAnsi="Times New Roman" w:cs="Times New Roman"/>
          <w:sz w:val="28"/>
          <w:szCs w:val="28"/>
        </w:rPr>
        <w:t>Клетка как биологическая система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73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36F40">
        <w:rPr>
          <w:rFonts w:ascii="Times New Roman" w:hAnsi="Times New Roman" w:cs="Times New Roman"/>
          <w:sz w:val="28"/>
          <w:szCs w:val="28"/>
        </w:rPr>
        <w:t>Эволюция живой природы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36F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- 54,5%, </w:t>
      </w:r>
      <w:r w:rsidRPr="00AB733B">
        <w:rPr>
          <w:rFonts w:ascii="Times New Roman" w:hAnsi="Times New Roman" w:cs="Times New Roman"/>
          <w:sz w:val="28"/>
          <w:szCs w:val="28"/>
        </w:rPr>
        <w:t>«</w:t>
      </w:r>
      <w:r w:rsidRPr="00445000">
        <w:rPr>
          <w:rFonts w:ascii="Times New Roman" w:hAnsi="Times New Roman" w:cs="Times New Roman"/>
          <w:sz w:val="28"/>
          <w:szCs w:val="28"/>
        </w:rPr>
        <w:t>Движущие силы эволюции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»-31,8%, «Скрещивание»,</w:t>
      </w:r>
      <w:r w:rsidRPr="0073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Воспроизведение организмов. Онтогенез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-45,5%,</w:t>
      </w:r>
      <w:r w:rsidRPr="00AB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FA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Экосистемы и присущие им закономерности</w:t>
      </w:r>
      <w:r w:rsidRPr="00AB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-50%, «</w:t>
      </w:r>
      <w:r w:rsidRPr="00FA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Общебиологические закономерности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»-50%,</w:t>
      </w:r>
      <w:r w:rsidRPr="00FA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A2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и его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»- 59,1%, «Среды жизни. Биосфера»- 27,3%,</w:t>
      </w:r>
      <w:r w:rsidRPr="00736F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36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Общебиологические закономерности. Человек и его здоровье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»-13,6% (3чел. из 22)</w:t>
      </w:r>
      <w:r w:rsidRPr="00AB7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440E" w:rsidRDefault="0062440E" w:rsidP="0062440E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350EA">
        <w:rPr>
          <w:rFonts w:ascii="Times New Roman" w:hAnsi="Times New Roman" w:cs="Times New Roman"/>
          <w:sz w:val="28"/>
          <w:szCs w:val="28"/>
        </w:rPr>
        <w:t>рофессиональная подготовка учителей биологии,</w:t>
      </w:r>
      <w:r w:rsidR="008A38F7" w:rsidRPr="008A38F7">
        <w:rPr>
          <w:rFonts w:ascii="Times New Roman" w:hAnsi="Times New Roman" w:cs="Times New Roman"/>
          <w:sz w:val="28"/>
          <w:szCs w:val="28"/>
        </w:rPr>
        <w:t xml:space="preserve"> </w:t>
      </w:r>
      <w:r w:rsidR="008A38F7" w:rsidRPr="005350EA">
        <w:rPr>
          <w:rFonts w:ascii="Times New Roman" w:hAnsi="Times New Roman" w:cs="Times New Roman"/>
          <w:sz w:val="28"/>
          <w:szCs w:val="28"/>
        </w:rPr>
        <w:t>принимавших у</w:t>
      </w:r>
      <w:r w:rsidR="008A38F7">
        <w:rPr>
          <w:rFonts w:ascii="Times New Roman" w:hAnsi="Times New Roman" w:cs="Times New Roman"/>
          <w:sz w:val="28"/>
          <w:szCs w:val="28"/>
        </w:rPr>
        <w:t>частие в диагностической работе, судя по результатам выполнения заданий,</w:t>
      </w:r>
      <w:r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8A38F7">
        <w:rPr>
          <w:rFonts w:ascii="Times New Roman" w:hAnsi="Times New Roman" w:cs="Times New Roman"/>
          <w:sz w:val="28"/>
          <w:szCs w:val="28"/>
        </w:rPr>
        <w:t>вызывает крайнюю озабоченность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8A38F7">
        <w:rPr>
          <w:rFonts w:ascii="Times New Roman" w:hAnsi="Times New Roman" w:cs="Times New Roman"/>
          <w:sz w:val="28"/>
          <w:szCs w:val="28"/>
        </w:rPr>
        <w:t xml:space="preserve"> Учителям биологии, взяв за основу </w:t>
      </w:r>
      <w:r w:rsidR="00BF0979">
        <w:rPr>
          <w:rFonts w:ascii="Times New Roman" w:hAnsi="Times New Roman" w:cs="Times New Roman"/>
          <w:sz w:val="28"/>
          <w:szCs w:val="28"/>
        </w:rPr>
        <w:t>результаты диагностики, необходимо выстроить индивидуальную траекторию для устранения профессиональных дефицитов. Руководителям органов управления образованием, методическим службам школ и района необходимо работать над повышением уровня компетенций учителей. Кафедре ЕНО рекомендуем использовать результаты экспертизы для составления личностно-ориентированных программ по проведению курсов ПК учителей биологии района.</w:t>
      </w:r>
    </w:p>
    <w:p w:rsidR="00634E4F" w:rsidRDefault="00634E4F" w:rsidP="00BF097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20E" w:rsidRDefault="00B9520E" w:rsidP="0062440E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40922" w:rsidRDefault="000D11E0" w:rsidP="006F7312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6E21" w:rsidRPr="005350EA">
        <w:rPr>
          <w:rFonts w:ascii="Times New Roman" w:hAnsi="Times New Roman" w:cs="Times New Roman"/>
          <w:sz w:val="28"/>
          <w:szCs w:val="28"/>
        </w:rPr>
        <w:t xml:space="preserve"> </w:t>
      </w:r>
      <w:r w:rsidR="006B6E21" w:rsidRPr="005350EA">
        <w:rPr>
          <w:rFonts w:ascii="Times New Roman" w:hAnsi="Times New Roman" w:cs="Times New Roman"/>
          <w:b/>
          <w:sz w:val="28"/>
          <w:szCs w:val="28"/>
        </w:rPr>
        <w:t>Предложения по итогам мониторингового исследования</w:t>
      </w:r>
    </w:p>
    <w:p w:rsidR="00BA5654" w:rsidRDefault="0022376E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01121">
        <w:rPr>
          <w:rFonts w:ascii="Times New Roman" w:hAnsi="Times New Roman" w:cs="Times New Roman"/>
          <w:sz w:val="28"/>
          <w:szCs w:val="28"/>
        </w:rPr>
        <w:t>1.</w:t>
      </w:r>
      <w:r w:rsidR="0079617A">
        <w:rPr>
          <w:rFonts w:ascii="Times New Roman" w:hAnsi="Times New Roman" w:cs="Times New Roman"/>
          <w:sz w:val="28"/>
          <w:szCs w:val="28"/>
        </w:rPr>
        <w:t xml:space="preserve"> </w:t>
      </w:r>
      <w:r w:rsidRPr="00D01121">
        <w:rPr>
          <w:rFonts w:ascii="Times New Roman" w:hAnsi="Times New Roman" w:cs="Times New Roman"/>
          <w:sz w:val="28"/>
          <w:szCs w:val="28"/>
        </w:rPr>
        <w:t xml:space="preserve">Районному методическому центру </w:t>
      </w:r>
      <w:r w:rsidR="0062440E">
        <w:rPr>
          <w:rFonts w:ascii="Times New Roman" w:hAnsi="Times New Roman" w:cs="Times New Roman"/>
          <w:sz w:val="28"/>
          <w:szCs w:val="28"/>
        </w:rPr>
        <w:t>Сулейман-</w:t>
      </w:r>
      <w:r w:rsidR="00A20AE6">
        <w:rPr>
          <w:rFonts w:ascii="Times New Roman" w:hAnsi="Times New Roman" w:cs="Times New Roman"/>
          <w:sz w:val="28"/>
          <w:szCs w:val="28"/>
        </w:rPr>
        <w:t xml:space="preserve">Стальского </w:t>
      </w:r>
      <w:r w:rsidR="00D01121" w:rsidRPr="00D0112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01121">
        <w:rPr>
          <w:rFonts w:ascii="Times New Roman" w:hAnsi="Times New Roman" w:cs="Times New Roman"/>
          <w:sz w:val="28"/>
          <w:szCs w:val="28"/>
        </w:rPr>
        <w:t>разработать план мероприятий по совершенствованию и развитию профессиональной компетентности учителей</w:t>
      </w:r>
      <w:r w:rsidR="005B068F">
        <w:rPr>
          <w:rFonts w:ascii="Times New Roman" w:hAnsi="Times New Roman" w:cs="Times New Roman"/>
          <w:sz w:val="28"/>
          <w:szCs w:val="28"/>
        </w:rPr>
        <w:t xml:space="preserve"> за счет </w:t>
      </w:r>
      <w:r w:rsidR="001175BA">
        <w:rPr>
          <w:rFonts w:ascii="Times New Roman" w:hAnsi="Times New Roman" w:cs="Times New Roman"/>
          <w:sz w:val="28"/>
          <w:szCs w:val="28"/>
        </w:rPr>
        <w:t>изучения, обобщения и распространения передового педагогического опыта коллег</w:t>
      </w:r>
      <w:r w:rsidR="005B068F">
        <w:rPr>
          <w:rFonts w:ascii="Times New Roman" w:hAnsi="Times New Roman" w:cs="Times New Roman"/>
          <w:sz w:val="28"/>
          <w:szCs w:val="28"/>
        </w:rPr>
        <w:t>, создани</w:t>
      </w:r>
      <w:r w:rsidR="000D11E0">
        <w:rPr>
          <w:rFonts w:ascii="Times New Roman" w:hAnsi="Times New Roman" w:cs="Times New Roman"/>
          <w:sz w:val="28"/>
          <w:szCs w:val="28"/>
        </w:rPr>
        <w:t>я</w:t>
      </w:r>
      <w:r w:rsidR="00126640">
        <w:rPr>
          <w:rFonts w:ascii="Times New Roman" w:hAnsi="Times New Roman" w:cs="Times New Roman"/>
          <w:sz w:val="28"/>
          <w:szCs w:val="28"/>
        </w:rPr>
        <w:t xml:space="preserve"> группы «взаимопомощи».</w:t>
      </w:r>
    </w:p>
    <w:p w:rsidR="0022376E" w:rsidRDefault="00D01121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</w:t>
      </w:r>
      <w:r w:rsidR="0022376E" w:rsidRPr="00D01121">
        <w:rPr>
          <w:rFonts w:ascii="Times New Roman" w:hAnsi="Times New Roman" w:cs="Times New Roman"/>
          <w:sz w:val="28"/>
          <w:szCs w:val="28"/>
        </w:rPr>
        <w:t xml:space="preserve">беспечить методическую помощь в реализации плана мероприятий по </w:t>
      </w:r>
      <w:r w:rsidR="00EB09E6">
        <w:rPr>
          <w:rFonts w:ascii="Times New Roman" w:hAnsi="Times New Roman" w:cs="Times New Roman"/>
          <w:sz w:val="28"/>
          <w:szCs w:val="28"/>
        </w:rPr>
        <w:t>повышению уровня</w:t>
      </w:r>
      <w:r w:rsidR="0022376E" w:rsidRPr="00D01121">
        <w:rPr>
          <w:rFonts w:ascii="Times New Roman" w:hAnsi="Times New Roman" w:cs="Times New Roman"/>
          <w:sz w:val="28"/>
          <w:szCs w:val="28"/>
        </w:rPr>
        <w:t xml:space="preserve"> компетенции учителей.</w:t>
      </w:r>
    </w:p>
    <w:p w:rsidR="002A2F64" w:rsidRDefault="00D01121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A2F64">
        <w:rPr>
          <w:rFonts w:ascii="Times New Roman" w:hAnsi="Times New Roman" w:cs="Times New Roman"/>
          <w:sz w:val="28"/>
          <w:szCs w:val="28"/>
        </w:rPr>
        <w:t>.</w:t>
      </w:r>
      <w:r w:rsidR="0022376E">
        <w:rPr>
          <w:rFonts w:ascii="Times New Roman" w:hAnsi="Times New Roman" w:cs="Times New Roman"/>
          <w:sz w:val="28"/>
          <w:szCs w:val="28"/>
        </w:rPr>
        <w:t xml:space="preserve"> </w:t>
      </w:r>
      <w:r w:rsidR="002A2F64">
        <w:rPr>
          <w:rFonts w:ascii="Times New Roman" w:hAnsi="Times New Roman" w:cs="Times New Roman"/>
          <w:sz w:val="28"/>
          <w:szCs w:val="28"/>
        </w:rPr>
        <w:t>ДИРО проанализировать имеющиеся</w:t>
      </w:r>
      <w:r w:rsidR="00A34A55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2A2F64">
        <w:rPr>
          <w:rFonts w:ascii="Times New Roman" w:hAnsi="Times New Roman" w:cs="Times New Roman"/>
          <w:sz w:val="28"/>
          <w:szCs w:val="28"/>
        </w:rPr>
        <w:t xml:space="preserve"> курс</w:t>
      </w:r>
      <w:r w:rsidR="00A34A55">
        <w:rPr>
          <w:rFonts w:ascii="Times New Roman" w:hAnsi="Times New Roman" w:cs="Times New Roman"/>
          <w:sz w:val="28"/>
          <w:szCs w:val="28"/>
        </w:rPr>
        <w:t>ов</w:t>
      </w:r>
      <w:r w:rsidR="002A2F64">
        <w:rPr>
          <w:rFonts w:ascii="Times New Roman" w:hAnsi="Times New Roman" w:cs="Times New Roman"/>
          <w:sz w:val="28"/>
          <w:szCs w:val="28"/>
        </w:rPr>
        <w:t xml:space="preserve"> повышения квалификации и переработать их с целью усиления блоков, где учителя показали худшие результаты.</w:t>
      </w:r>
    </w:p>
    <w:p w:rsidR="005B068F" w:rsidRDefault="005B068F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2F64">
        <w:rPr>
          <w:rFonts w:ascii="Times New Roman" w:hAnsi="Times New Roman" w:cs="Times New Roman"/>
          <w:sz w:val="28"/>
          <w:szCs w:val="28"/>
        </w:rPr>
        <w:t xml:space="preserve">. Оказать </w:t>
      </w:r>
      <w:r w:rsidR="00A34A55">
        <w:rPr>
          <w:rFonts w:ascii="Times New Roman" w:hAnsi="Times New Roman" w:cs="Times New Roman"/>
          <w:sz w:val="28"/>
          <w:szCs w:val="28"/>
        </w:rPr>
        <w:t xml:space="preserve">учителям района </w:t>
      </w:r>
      <w:r w:rsidR="002A2F64">
        <w:rPr>
          <w:rFonts w:ascii="Times New Roman" w:hAnsi="Times New Roman" w:cs="Times New Roman"/>
          <w:sz w:val="28"/>
          <w:szCs w:val="28"/>
        </w:rPr>
        <w:t xml:space="preserve">методическую помощь с привлечением регионального методического актива. Обратить внимание на </w:t>
      </w:r>
      <w:r w:rsidR="00B9520E">
        <w:rPr>
          <w:rFonts w:ascii="Times New Roman" w:hAnsi="Times New Roman" w:cs="Times New Roman"/>
          <w:sz w:val="28"/>
          <w:szCs w:val="28"/>
        </w:rPr>
        <w:t xml:space="preserve">результаты мониторинга и внести </w:t>
      </w:r>
      <w:r w:rsidR="002A2F6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DC2DA3">
        <w:rPr>
          <w:rFonts w:ascii="Times New Roman" w:hAnsi="Times New Roman" w:cs="Times New Roman"/>
          <w:sz w:val="28"/>
          <w:szCs w:val="28"/>
        </w:rPr>
        <w:t>изменения в рабочие</w:t>
      </w:r>
      <w:r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B150C2" w:rsidRPr="005B068F" w:rsidRDefault="00AA2759" w:rsidP="006F7312">
      <w:pPr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b/>
          <w:sz w:val="28"/>
          <w:szCs w:val="28"/>
        </w:rPr>
        <w:t>В целях дальнейшего улучшения качества исследования ко</w:t>
      </w:r>
      <w:r w:rsidR="00D019F9" w:rsidRPr="005350EA">
        <w:rPr>
          <w:rFonts w:ascii="Times New Roman" w:hAnsi="Times New Roman" w:cs="Times New Roman"/>
          <w:b/>
          <w:sz w:val="28"/>
          <w:szCs w:val="28"/>
        </w:rPr>
        <w:t>мпетенции учителей</w:t>
      </w:r>
      <w:r w:rsidR="006E0C91" w:rsidRPr="005350EA">
        <w:rPr>
          <w:rFonts w:ascii="Times New Roman" w:hAnsi="Times New Roman" w:cs="Times New Roman"/>
          <w:b/>
          <w:sz w:val="28"/>
          <w:szCs w:val="28"/>
        </w:rPr>
        <w:t xml:space="preserve"> рекомендуется</w:t>
      </w:r>
      <w:r w:rsidRPr="005350EA">
        <w:rPr>
          <w:rFonts w:ascii="Times New Roman" w:hAnsi="Times New Roman" w:cs="Times New Roman"/>
          <w:b/>
          <w:sz w:val="28"/>
          <w:szCs w:val="28"/>
        </w:rPr>
        <w:t>:</w:t>
      </w:r>
    </w:p>
    <w:p w:rsidR="00B150C2" w:rsidRPr="005350EA" w:rsidRDefault="00B150C2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 xml:space="preserve">1. </w:t>
      </w:r>
      <w:r w:rsidR="00126640">
        <w:rPr>
          <w:rFonts w:ascii="Times New Roman" w:hAnsi="Times New Roman" w:cs="Times New Roman"/>
          <w:sz w:val="28"/>
          <w:szCs w:val="28"/>
        </w:rPr>
        <w:t>Р</w:t>
      </w:r>
      <w:r w:rsidR="00126640" w:rsidRPr="00126640">
        <w:rPr>
          <w:rFonts w:ascii="Times New Roman" w:hAnsi="Times New Roman" w:cs="Times New Roman"/>
          <w:sz w:val="28"/>
          <w:szCs w:val="28"/>
        </w:rPr>
        <w:t>азработать эффективную систему контроля за учебным процессом с целью получения объективн</w:t>
      </w:r>
      <w:r w:rsidR="00126640">
        <w:rPr>
          <w:rFonts w:ascii="Times New Roman" w:hAnsi="Times New Roman" w:cs="Times New Roman"/>
          <w:sz w:val="28"/>
          <w:szCs w:val="28"/>
        </w:rPr>
        <w:t xml:space="preserve">ой </w:t>
      </w:r>
      <w:r w:rsidR="00DC2DA3">
        <w:rPr>
          <w:rFonts w:ascii="Times New Roman" w:hAnsi="Times New Roman" w:cs="Times New Roman"/>
          <w:sz w:val="28"/>
          <w:szCs w:val="28"/>
        </w:rPr>
        <w:t>информации о</w:t>
      </w:r>
      <w:r w:rsidR="0012664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DC2DA3">
        <w:rPr>
          <w:rFonts w:ascii="Times New Roman" w:hAnsi="Times New Roman" w:cs="Times New Roman"/>
          <w:sz w:val="28"/>
          <w:szCs w:val="28"/>
        </w:rPr>
        <w:t>и</w:t>
      </w:r>
      <w:r w:rsidR="00126640">
        <w:rPr>
          <w:rFonts w:ascii="Times New Roman" w:hAnsi="Times New Roman" w:cs="Times New Roman"/>
          <w:sz w:val="28"/>
          <w:szCs w:val="28"/>
        </w:rPr>
        <w:t xml:space="preserve"> дел в школах</w:t>
      </w:r>
      <w:r w:rsidR="00126640" w:rsidRPr="00126640">
        <w:rPr>
          <w:rFonts w:ascii="Times New Roman" w:hAnsi="Times New Roman" w:cs="Times New Roman"/>
          <w:sz w:val="28"/>
          <w:szCs w:val="28"/>
        </w:rPr>
        <w:t>;</w:t>
      </w:r>
      <w:r w:rsidR="001266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F5C" w:rsidRDefault="00B150C2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5350EA">
        <w:rPr>
          <w:rFonts w:ascii="Times New Roman" w:hAnsi="Times New Roman" w:cs="Times New Roman"/>
          <w:sz w:val="28"/>
          <w:szCs w:val="28"/>
        </w:rPr>
        <w:t>2.</w:t>
      </w:r>
      <w:r w:rsidR="002464DE">
        <w:rPr>
          <w:rFonts w:ascii="Times New Roman" w:hAnsi="Times New Roman" w:cs="Times New Roman"/>
          <w:sz w:val="28"/>
          <w:szCs w:val="28"/>
        </w:rPr>
        <w:t xml:space="preserve"> </w:t>
      </w:r>
      <w:r w:rsidR="00761F5C">
        <w:rPr>
          <w:rFonts w:ascii="Times New Roman" w:hAnsi="Times New Roman" w:cs="Times New Roman"/>
          <w:sz w:val="28"/>
          <w:szCs w:val="28"/>
        </w:rPr>
        <w:t>У</w:t>
      </w:r>
      <w:r w:rsidR="0081255C">
        <w:rPr>
          <w:rFonts w:ascii="Times New Roman" w:hAnsi="Times New Roman" w:cs="Times New Roman"/>
          <w:sz w:val="28"/>
          <w:szCs w:val="28"/>
        </w:rPr>
        <w:t xml:space="preserve">силить контроль </w:t>
      </w:r>
      <w:r w:rsidR="00761F5C" w:rsidRPr="00761F5C">
        <w:rPr>
          <w:rFonts w:ascii="Times New Roman" w:hAnsi="Times New Roman" w:cs="Times New Roman"/>
          <w:sz w:val="28"/>
          <w:szCs w:val="28"/>
        </w:rPr>
        <w:t>за преподаванием отдельных предметов, особенно вызывающих тревогу;</w:t>
      </w:r>
    </w:p>
    <w:p w:rsidR="00AA2759" w:rsidRPr="005350EA" w:rsidRDefault="005B068F" w:rsidP="006F7312">
      <w:pPr>
        <w:spacing w:line="276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464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2D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AA2759" w:rsidRPr="005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ассмотреть вопрос расширения оцениваемых компетенций путем включения оценки психолого-педагогических компетенций учите</w:t>
      </w:r>
      <w:r w:rsidR="00A34A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ля, осуществляемой, в том числе</w:t>
      </w:r>
      <w:r w:rsidR="00AA2759" w:rsidRPr="005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привлечением региональных методических объ</w:t>
      </w:r>
      <w:r w:rsidR="0076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единений или на школьном уровне;</w:t>
      </w:r>
    </w:p>
    <w:p w:rsidR="00AA2759" w:rsidRPr="005350EA" w:rsidRDefault="005B068F" w:rsidP="006F7312">
      <w:pPr>
        <w:shd w:val="clear" w:color="auto" w:fill="FFFFFF"/>
        <w:spacing w:after="0" w:line="276" w:lineRule="auto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07472" w:rsidRPr="005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761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2759" w:rsidRPr="005350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Использованные в исследовании подходы могут применяться как для оценки компетенций учителей в рамках аттестационных процедур, так и для диагностики с целью организации адресного повышения квалификации и оказания профессиональной помощи учителю на основе результатов выполнения им диагностической работы.</w:t>
      </w:r>
    </w:p>
    <w:p w:rsidR="001C6F10" w:rsidRDefault="003E08F1" w:rsidP="001C6F10">
      <w:pPr>
        <w:spacing w:after="0"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C6F10">
        <w:rPr>
          <w:rFonts w:ascii="Times New Roman" w:hAnsi="Times New Roman" w:cs="Times New Roman"/>
          <w:sz w:val="28"/>
          <w:szCs w:val="28"/>
        </w:rPr>
        <w:t>Наличие одних и тех же ошибок в ответах вызывает сомнение в объективности проведенной диагностики.</w:t>
      </w:r>
    </w:p>
    <w:p w:rsidR="005B068F" w:rsidRDefault="005B068F" w:rsidP="006F73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B150C2" w:rsidRPr="005350EA" w:rsidRDefault="00B150C2" w:rsidP="006F731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B150C2" w:rsidRPr="005350EA" w:rsidSect="000619B0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C4"/>
    <w:rsid w:val="00000375"/>
    <w:rsid w:val="00006208"/>
    <w:rsid w:val="00016760"/>
    <w:rsid w:val="00031A3F"/>
    <w:rsid w:val="00035B7A"/>
    <w:rsid w:val="00052DB6"/>
    <w:rsid w:val="00056AB2"/>
    <w:rsid w:val="000619B0"/>
    <w:rsid w:val="00067FCD"/>
    <w:rsid w:val="0008704A"/>
    <w:rsid w:val="00092C82"/>
    <w:rsid w:val="000B3263"/>
    <w:rsid w:val="000C4219"/>
    <w:rsid w:val="000C55B3"/>
    <w:rsid w:val="000D1053"/>
    <w:rsid w:val="000D11E0"/>
    <w:rsid w:val="000D600B"/>
    <w:rsid w:val="00104092"/>
    <w:rsid w:val="001054DB"/>
    <w:rsid w:val="00110565"/>
    <w:rsid w:val="00115B1C"/>
    <w:rsid w:val="001175BA"/>
    <w:rsid w:val="001214FB"/>
    <w:rsid w:val="00126640"/>
    <w:rsid w:val="001345DA"/>
    <w:rsid w:val="00135CAC"/>
    <w:rsid w:val="001661D5"/>
    <w:rsid w:val="00194781"/>
    <w:rsid w:val="001B2B58"/>
    <w:rsid w:val="001B75CE"/>
    <w:rsid w:val="001C6F10"/>
    <w:rsid w:val="001D1B06"/>
    <w:rsid w:val="001E2FC8"/>
    <w:rsid w:val="001F45AB"/>
    <w:rsid w:val="0020791F"/>
    <w:rsid w:val="0022376E"/>
    <w:rsid w:val="002464DE"/>
    <w:rsid w:val="00247066"/>
    <w:rsid w:val="002503DC"/>
    <w:rsid w:val="00255517"/>
    <w:rsid w:val="00270CF0"/>
    <w:rsid w:val="002825BD"/>
    <w:rsid w:val="002914D2"/>
    <w:rsid w:val="00296101"/>
    <w:rsid w:val="00296376"/>
    <w:rsid w:val="00296E54"/>
    <w:rsid w:val="00297195"/>
    <w:rsid w:val="002A0A50"/>
    <w:rsid w:val="002A2F64"/>
    <w:rsid w:val="002A57A4"/>
    <w:rsid w:val="002B5AB9"/>
    <w:rsid w:val="002C3459"/>
    <w:rsid w:val="002C3584"/>
    <w:rsid w:val="002D60C3"/>
    <w:rsid w:val="00331D22"/>
    <w:rsid w:val="00346921"/>
    <w:rsid w:val="00351632"/>
    <w:rsid w:val="0036026F"/>
    <w:rsid w:val="00360587"/>
    <w:rsid w:val="003771C6"/>
    <w:rsid w:val="003863EB"/>
    <w:rsid w:val="00387F4E"/>
    <w:rsid w:val="00392998"/>
    <w:rsid w:val="0039398E"/>
    <w:rsid w:val="003A64FF"/>
    <w:rsid w:val="003E08F1"/>
    <w:rsid w:val="003E5B0C"/>
    <w:rsid w:val="004055D0"/>
    <w:rsid w:val="004154F3"/>
    <w:rsid w:val="00420515"/>
    <w:rsid w:val="00431E3F"/>
    <w:rsid w:val="0044002A"/>
    <w:rsid w:val="00440057"/>
    <w:rsid w:val="00445000"/>
    <w:rsid w:val="00481EDF"/>
    <w:rsid w:val="004B318F"/>
    <w:rsid w:val="004B41CF"/>
    <w:rsid w:val="004C3539"/>
    <w:rsid w:val="004C63C5"/>
    <w:rsid w:val="004D641B"/>
    <w:rsid w:val="004E1DB4"/>
    <w:rsid w:val="005005C2"/>
    <w:rsid w:val="005026F0"/>
    <w:rsid w:val="00502FE0"/>
    <w:rsid w:val="00507A6E"/>
    <w:rsid w:val="0051354B"/>
    <w:rsid w:val="00513BD5"/>
    <w:rsid w:val="005219E2"/>
    <w:rsid w:val="00526CF0"/>
    <w:rsid w:val="005350EA"/>
    <w:rsid w:val="00535A4A"/>
    <w:rsid w:val="00542102"/>
    <w:rsid w:val="00555740"/>
    <w:rsid w:val="0057535B"/>
    <w:rsid w:val="005754D1"/>
    <w:rsid w:val="0059282C"/>
    <w:rsid w:val="00596B88"/>
    <w:rsid w:val="00596DC0"/>
    <w:rsid w:val="005A23D2"/>
    <w:rsid w:val="005A3E60"/>
    <w:rsid w:val="005B068F"/>
    <w:rsid w:val="005C1D13"/>
    <w:rsid w:val="005E731E"/>
    <w:rsid w:val="006025CD"/>
    <w:rsid w:val="006218C2"/>
    <w:rsid w:val="0062440E"/>
    <w:rsid w:val="00631979"/>
    <w:rsid w:val="00634588"/>
    <w:rsid w:val="00634E4F"/>
    <w:rsid w:val="00644C75"/>
    <w:rsid w:val="00647CA9"/>
    <w:rsid w:val="00657944"/>
    <w:rsid w:val="0067750D"/>
    <w:rsid w:val="00681BDB"/>
    <w:rsid w:val="0069377C"/>
    <w:rsid w:val="006957C6"/>
    <w:rsid w:val="006A3278"/>
    <w:rsid w:val="006A528A"/>
    <w:rsid w:val="006A776A"/>
    <w:rsid w:val="006B6E21"/>
    <w:rsid w:val="006C1898"/>
    <w:rsid w:val="006D21DB"/>
    <w:rsid w:val="006D66DE"/>
    <w:rsid w:val="006E0C91"/>
    <w:rsid w:val="006E6788"/>
    <w:rsid w:val="006F7312"/>
    <w:rsid w:val="00710DB0"/>
    <w:rsid w:val="00731987"/>
    <w:rsid w:val="007455D7"/>
    <w:rsid w:val="0075111E"/>
    <w:rsid w:val="00761F5C"/>
    <w:rsid w:val="007643D5"/>
    <w:rsid w:val="00767EF4"/>
    <w:rsid w:val="007713CF"/>
    <w:rsid w:val="00772605"/>
    <w:rsid w:val="0077653B"/>
    <w:rsid w:val="00780686"/>
    <w:rsid w:val="00787D4A"/>
    <w:rsid w:val="0079617A"/>
    <w:rsid w:val="007A5C2A"/>
    <w:rsid w:val="007C06E1"/>
    <w:rsid w:val="007C4F01"/>
    <w:rsid w:val="007E0118"/>
    <w:rsid w:val="007E3B78"/>
    <w:rsid w:val="007F155A"/>
    <w:rsid w:val="007F1E8F"/>
    <w:rsid w:val="0081255C"/>
    <w:rsid w:val="008220A1"/>
    <w:rsid w:val="008262FA"/>
    <w:rsid w:val="008351B6"/>
    <w:rsid w:val="00846612"/>
    <w:rsid w:val="008541E7"/>
    <w:rsid w:val="00860086"/>
    <w:rsid w:val="00860AFF"/>
    <w:rsid w:val="00892BFE"/>
    <w:rsid w:val="00894383"/>
    <w:rsid w:val="008A2F4B"/>
    <w:rsid w:val="008A3583"/>
    <w:rsid w:val="008A38F7"/>
    <w:rsid w:val="008B5309"/>
    <w:rsid w:val="008B7C55"/>
    <w:rsid w:val="008D2020"/>
    <w:rsid w:val="008D55E1"/>
    <w:rsid w:val="008E77FF"/>
    <w:rsid w:val="008F5649"/>
    <w:rsid w:val="009138F5"/>
    <w:rsid w:val="009243DD"/>
    <w:rsid w:val="00944123"/>
    <w:rsid w:val="00955D16"/>
    <w:rsid w:val="0097031D"/>
    <w:rsid w:val="0097046E"/>
    <w:rsid w:val="00974B00"/>
    <w:rsid w:val="009755C3"/>
    <w:rsid w:val="0098698C"/>
    <w:rsid w:val="009B0C53"/>
    <w:rsid w:val="009B26D7"/>
    <w:rsid w:val="009B364D"/>
    <w:rsid w:val="009B628C"/>
    <w:rsid w:val="009B6C64"/>
    <w:rsid w:val="009F5D65"/>
    <w:rsid w:val="009F697B"/>
    <w:rsid w:val="00A06D52"/>
    <w:rsid w:val="00A20AE6"/>
    <w:rsid w:val="00A241FC"/>
    <w:rsid w:val="00A272EB"/>
    <w:rsid w:val="00A33870"/>
    <w:rsid w:val="00A34A55"/>
    <w:rsid w:val="00A50FA1"/>
    <w:rsid w:val="00A72745"/>
    <w:rsid w:val="00A8242F"/>
    <w:rsid w:val="00A867B1"/>
    <w:rsid w:val="00A935AD"/>
    <w:rsid w:val="00A938CE"/>
    <w:rsid w:val="00A93C9D"/>
    <w:rsid w:val="00A978CF"/>
    <w:rsid w:val="00AA2759"/>
    <w:rsid w:val="00AB56E2"/>
    <w:rsid w:val="00AB6C10"/>
    <w:rsid w:val="00AB733B"/>
    <w:rsid w:val="00AC3586"/>
    <w:rsid w:val="00AE3959"/>
    <w:rsid w:val="00B108A8"/>
    <w:rsid w:val="00B150C2"/>
    <w:rsid w:val="00B17675"/>
    <w:rsid w:val="00B40922"/>
    <w:rsid w:val="00B468CC"/>
    <w:rsid w:val="00B55E6A"/>
    <w:rsid w:val="00B71995"/>
    <w:rsid w:val="00B8756E"/>
    <w:rsid w:val="00B87BF7"/>
    <w:rsid w:val="00B9520E"/>
    <w:rsid w:val="00BA0EAD"/>
    <w:rsid w:val="00BA2B50"/>
    <w:rsid w:val="00BA5654"/>
    <w:rsid w:val="00BF0979"/>
    <w:rsid w:val="00BF5A65"/>
    <w:rsid w:val="00BF745B"/>
    <w:rsid w:val="00C0016E"/>
    <w:rsid w:val="00C07472"/>
    <w:rsid w:val="00C30685"/>
    <w:rsid w:val="00C357B7"/>
    <w:rsid w:val="00C43BC1"/>
    <w:rsid w:val="00C82837"/>
    <w:rsid w:val="00CA629A"/>
    <w:rsid w:val="00CB637E"/>
    <w:rsid w:val="00CC43DC"/>
    <w:rsid w:val="00CD021C"/>
    <w:rsid w:val="00CD46C8"/>
    <w:rsid w:val="00CF0E03"/>
    <w:rsid w:val="00D01121"/>
    <w:rsid w:val="00D019F9"/>
    <w:rsid w:val="00D03074"/>
    <w:rsid w:val="00D13FC4"/>
    <w:rsid w:val="00D47ADC"/>
    <w:rsid w:val="00D5194F"/>
    <w:rsid w:val="00D619FD"/>
    <w:rsid w:val="00D623C1"/>
    <w:rsid w:val="00D640E0"/>
    <w:rsid w:val="00D826E9"/>
    <w:rsid w:val="00D84A3B"/>
    <w:rsid w:val="00D93144"/>
    <w:rsid w:val="00D97A5E"/>
    <w:rsid w:val="00DC1446"/>
    <w:rsid w:val="00DC2DA3"/>
    <w:rsid w:val="00DD1458"/>
    <w:rsid w:val="00DD2EEB"/>
    <w:rsid w:val="00DD52A2"/>
    <w:rsid w:val="00DF6FC0"/>
    <w:rsid w:val="00E17123"/>
    <w:rsid w:val="00E3254B"/>
    <w:rsid w:val="00E42CD0"/>
    <w:rsid w:val="00E42F4B"/>
    <w:rsid w:val="00E52217"/>
    <w:rsid w:val="00E55638"/>
    <w:rsid w:val="00E570BE"/>
    <w:rsid w:val="00E72EB2"/>
    <w:rsid w:val="00E74F05"/>
    <w:rsid w:val="00E804C9"/>
    <w:rsid w:val="00E80A76"/>
    <w:rsid w:val="00E96BA5"/>
    <w:rsid w:val="00EA235D"/>
    <w:rsid w:val="00EB09E6"/>
    <w:rsid w:val="00EB631A"/>
    <w:rsid w:val="00EB6D6F"/>
    <w:rsid w:val="00EC1181"/>
    <w:rsid w:val="00ED53C6"/>
    <w:rsid w:val="00EF0D45"/>
    <w:rsid w:val="00EF4DA7"/>
    <w:rsid w:val="00EF67F9"/>
    <w:rsid w:val="00F11697"/>
    <w:rsid w:val="00F250A5"/>
    <w:rsid w:val="00F25B34"/>
    <w:rsid w:val="00F53BB8"/>
    <w:rsid w:val="00F63666"/>
    <w:rsid w:val="00F7570B"/>
    <w:rsid w:val="00F83244"/>
    <w:rsid w:val="00F97C51"/>
    <w:rsid w:val="00FA2B39"/>
    <w:rsid w:val="00FA33F4"/>
    <w:rsid w:val="00FA647B"/>
    <w:rsid w:val="00FC1572"/>
    <w:rsid w:val="00FE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80EBF"/>
  <w15:docId w15:val="{A6E2E2BB-E7AD-4521-B8FA-8C26B447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C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0C9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96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963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2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Результаты диагностической работы учителей Сулейман-Стальского  района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Лист1!$B$13</c:f>
              <c:strCache>
                <c:ptCount val="1"/>
                <c:pt idx="0">
                  <c:v>Успеваемость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Лист1!$A$14:$A$20</c:f>
              <c:strCache>
                <c:ptCount val="6"/>
                <c:pt idx="0">
                  <c:v>Русский язык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Лист1!$B$14:$B$20</c:f>
              <c:numCache>
                <c:formatCode>General</c:formatCode>
                <c:ptCount val="7"/>
                <c:pt idx="0">
                  <c:v>91.8</c:v>
                </c:pt>
                <c:pt idx="1">
                  <c:v>100</c:v>
                </c:pt>
                <c:pt idx="2">
                  <c:v>80.7</c:v>
                </c:pt>
                <c:pt idx="3">
                  <c:v>68.7</c:v>
                </c:pt>
                <c:pt idx="4">
                  <c:v>68.8</c:v>
                </c:pt>
                <c:pt idx="5">
                  <c:v>72.8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E9-4C16-A770-4E22DC3A1135}"/>
            </c:ext>
          </c:extLst>
        </c:ser>
        <c:ser>
          <c:idx val="1"/>
          <c:order val="1"/>
          <c:tx>
            <c:strRef>
              <c:f>Лист1!$C$13</c:f>
              <c:strCache>
                <c:ptCount val="1"/>
                <c:pt idx="0">
                  <c:v>Качество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Лист1!$A$14:$A$20</c:f>
              <c:strCache>
                <c:ptCount val="6"/>
                <c:pt idx="0">
                  <c:v>Русский язык </c:v>
                </c:pt>
                <c:pt idx="1">
                  <c:v>Математика</c:v>
                </c:pt>
                <c:pt idx="2">
                  <c:v>История</c:v>
                </c:pt>
                <c:pt idx="3">
                  <c:v>Обществознание</c:v>
                </c:pt>
                <c:pt idx="4">
                  <c:v>Химия</c:v>
                </c:pt>
                <c:pt idx="5">
                  <c:v>Биология</c:v>
                </c:pt>
              </c:strCache>
            </c:strRef>
          </c:cat>
          <c:val>
            <c:numRef>
              <c:f>Лист1!$C$14:$C$20</c:f>
              <c:numCache>
                <c:formatCode>General</c:formatCode>
                <c:ptCount val="7"/>
                <c:pt idx="0">
                  <c:v>48.6</c:v>
                </c:pt>
                <c:pt idx="1">
                  <c:v>89.1</c:v>
                </c:pt>
                <c:pt idx="2">
                  <c:v>19.2</c:v>
                </c:pt>
                <c:pt idx="3">
                  <c:v>18.7</c:v>
                </c:pt>
                <c:pt idx="4">
                  <c:v>56.2</c:v>
                </c:pt>
                <c:pt idx="5">
                  <c:v>18.100000000000001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E9-4C16-A770-4E22DC3A11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8556160"/>
        <c:axId val="158557696"/>
        <c:axId val="0"/>
      </c:bar3DChart>
      <c:catAx>
        <c:axId val="158556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557696"/>
        <c:crosses val="autoZero"/>
        <c:auto val="1"/>
        <c:lblAlgn val="ctr"/>
        <c:lblOffset val="100"/>
        <c:noMultiLvlLbl val="0"/>
      </c:catAx>
      <c:valAx>
        <c:axId val="158557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556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2955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цванка 2</dc:creator>
  <cp:lastModifiedBy>ИМЦ</cp:lastModifiedBy>
  <cp:revision>3</cp:revision>
  <cp:lastPrinted>2021-04-05T13:04:00Z</cp:lastPrinted>
  <dcterms:created xsi:type="dcterms:W3CDTF">2021-05-25T10:28:00Z</dcterms:created>
  <dcterms:modified xsi:type="dcterms:W3CDTF">2021-05-25T10:29:00Z</dcterms:modified>
</cp:coreProperties>
</file>